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150"/>
        </w:tabs>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eastAsia="仿宋_GB2312"/>
          <w:b/>
          <w:color w:val="auto"/>
          <w:sz w:val="36"/>
          <w:szCs w:val="36"/>
        </w:rPr>
      </w:pPr>
      <w:bookmarkStart w:id="0" w:name="_Toc5017"/>
      <w:bookmarkStart w:id="1" w:name="_Toc22260"/>
      <w:bookmarkStart w:id="2" w:name="_Toc224103298"/>
      <w:bookmarkStart w:id="3" w:name="_Toc287607727"/>
      <w:bookmarkStart w:id="4" w:name="_Toc277082535"/>
      <w:bookmarkStart w:id="5" w:name="_Toc22183"/>
      <w:r>
        <w:rPr>
          <w:rFonts w:hint="eastAsia" w:ascii="仿宋_GB2312" w:eastAsia="仿宋_GB2312"/>
          <w:b/>
          <w:color w:val="auto"/>
          <w:sz w:val="36"/>
          <w:szCs w:val="36"/>
        </w:rPr>
        <w:t>工程名称：</w:t>
      </w:r>
      <w:r>
        <w:rPr>
          <w:rFonts w:hint="eastAsia" w:ascii="仿宋_GB2312" w:eastAsia="仿宋_GB2312"/>
          <w:b/>
          <w:color w:val="auto"/>
          <w:sz w:val="36"/>
          <w:szCs w:val="36"/>
          <w:lang w:eastAsia="zh-CN"/>
        </w:rPr>
        <w:t>安居古城书香文化街（配套部分）项目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宋体" w:hAnsi="宋体" w:eastAsia="仿宋_GB2312"/>
          <w:b/>
          <w:color w:val="auto"/>
          <w:spacing w:val="20"/>
          <w:kern w:val="0"/>
          <w:sz w:val="32"/>
          <w:highlight w:val="yellow"/>
          <w:lang w:val="en-US" w:eastAsia="zh-CN"/>
        </w:rPr>
      </w:pPr>
      <w:r>
        <w:rPr>
          <w:rFonts w:hint="eastAsia" w:ascii="仿宋_GB2312" w:eastAsia="仿宋_GB2312"/>
          <w:b/>
          <w:color w:val="auto"/>
          <w:sz w:val="36"/>
          <w:szCs w:val="36"/>
        </w:rPr>
        <w:t>比选编号</w:t>
      </w:r>
      <w:r>
        <w:rPr>
          <w:rFonts w:hint="eastAsia" w:ascii="仿宋_GB2312" w:eastAsia="仿宋_GB2312"/>
          <w:b/>
          <w:color w:val="auto"/>
          <w:sz w:val="36"/>
          <w:szCs w:val="36"/>
          <w:lang w:eastAsia="zh-CN"/>
        </w:rPr>
        <w:t>：</w:t>
      </w:r>
      <w:r>
        <w:rPr>
          <w:rFonts w:hint="eastAsia" w:ascii="仿宋_GB2312" w:eastAsia="仿宋_GB2312"/>
          <w:b/>
          <w:color w:val="auto"/>
          <w:sz w:val="36"/>
          <w:szCs w:val="36"/>
        </w:rPr>
        <w:t>CQ</w:t>
      </w:r>
      <w:r>
        <w:rPr>
          <w:rFonts w:hint="eastAsia" w:ascii="仿宋_GB2312" w:eastAsia="仿宋_GB2312"/>
          <w:b/>
          <w:color w:val="auto"/>
          <w:sz w:val="36"/>
          <w:szCs w:val="36"/>
          <w:lang w:val="en-US" w:eastAsia="zh-CN"/>
        </w:rPr>
        <w:t>GY</w:t>
      </w:r>
      <w:r>
        <w:rPr>
          <w:rFonts w:hint="eastAsia" w:ascii="仿宋_GB2312" w:eastAsia="仿宋_GB2312"/>
          <w:b/>
          <w:color w:val="auto"/>
          <w:sz w:val="36"/>
          <w:szCs w:val="36"/>
        </w:rPr>
        <w:t>-</w:t>
      </w:r>
      <w:r>
        <w:rPr>
          <w:rFonts w:hint="eastAsia" w:ascii="仿宋_GB2312" w:eastAsia="仿宋_GB2312"/>
          <w:b/>
          <w:color w:val="auto"/>
          <w:sz w:val="36"/>
          <w:szCs w:val="36"/>
          <w:lang w:eastAsia="zh-CN"/>
        </w:rPr>
        <w:t>202</w:t>
      </w:r>
      <w:r>
        <w:rPr>
          <w:rFonts w:hint="eastAsia" w:ascii="仿宋_GB2312" w:eastAsia="仿宋_GB2312"/>
          <w:b/>
          <w:color w:val="auto"/>
          <w:sz w:val="36"/>
          <w:szCs w:val="36"/>
          <w:lang w:val="en-US" w:eastAsia="zh-CN"/>
        </w:rPr>
        <w:t>2</w:t>
      </w:r>
      <w:r>
        <w:rPr>
          <w:rFonts w:hint="eastAsia" w:ascii="仿宋_GB2312" w:eastAsia="仿宋_GB2312"/>
          <w:b/>
          <w:color w:val="auto"/>
          <w:sz w:val="36"/>
          <w:szCs w:val="36"/>
        </w:rPr>
        <w:t>-</w:t>
      </w:r>
      <w:r>
        <w:rPr>
          <w:rFonts w:hint="eastAsia" w:ascii="仿宋_GB2312" w:eastAsia="仿宋_GB2312"/>
          <w:b/>
          <w:color w:val="auto"/>
          <w:sz w:val="36"/>
          <w:szCs w:val="36"/>
          <w:lang w:val="en-US" w:eastAsia="zh-CN"/>
        </w:rPr>
        <w:t xml:space="preserve">0706   </w:t>
      </w:r>
    </w:p>
    <w:p>
      <w:pPr>
        <w:keepNext w:val="0"/>
        <w:keepLines w:val="0"/>
        <w:pageBreakBefore w:val="0"/>
        <w:widowControl w:val="0"/>
        <w:kinsoku/>
        <w:wordWrap/>
        <w:overflowPunct/>
        <w:topLinePunct w:val="0"/>
        <w:autoSpaceDE w:val="0"/>
        <w:autoSpaceDN w:val="0"/>
        <w:bidi w:val="0"/>
        <w:adjustRightInd w:val="0"/>
        <w:snapToGrid w:val="0"/>
        <w:spacing w:line="500" w:lineRule="exact"/>
        <w:ind w:right="0" w:rightChars="0"/>
        <w:jc w:val="both"/>
        <w:textAlignment w:val="auto"/>
        <w:outlineLvl w:val="9"/>
        <w:rPr>
          <w:rFonts w:ascii="宋体" w:hAnsi="宋体"/>
          <w:color w:val="auto"/>
          <w:spacing w:val="9"/>
          <w:kern w:val="0"/>
        </w:rPr>
      </w:pPr>
    </w:p>
    <w:p>
      <w:pPr>
        <w:autoSpaceDE w:val="0"/>
        <w:autoSpaceDN w:val="0"/>
        <w:adjustRightInd w:val="0"/>
        <w:snapToGrid w:val="0"/>
        <w:spacing w:line="500" w:lineRule="exact"/>
        <w:rPr>
          <w:rFonts w:ascii="宋体" w:hAnsi="宋体"/>
          <w:color w:val="auto"/>
          <w:spacing w:val="9"/>
          <w:kern w:val="0"/>
        </w:rPr>
      </w:pPr>
    </w:p>
    <w:p>
      <w:pPr>
        <w:autoSpaceDE w:val="0"/>
        <w:autoSpaceDN w:val="0"/>
        <w:adjustRightInd w:val="0"/>
        <w:snapToGrid w:val="0"/>
        <w:spacing w:line="240" w:lineRule="atLeast"/>
        <w:jc w:val="center"/>
        <w:rPr>
          <w:rFonts w:ascii="宋体" w:hAnsi="宋体"/>
          <w:b/>
          <w:color w:val="auto"/>
          <w:spacing w:val="34"/>
          <w:kern w:val="0"/>
          <w:sz w:val="96"/>
        </w:rPr>
      </w:pPr>
    </w:p>
    <w:p>
      <w:pPr>
        <w:autoSpaceDE w:val="0"/>
        <w:autoSpaceDN w:val="0"/>
        <w:adjustRightInd w:val="0"/>
        <w:snapToGrid w:val="0"/>
        <w:spacing w:line="240" w:lineRule="atLeast"/>
        <w:rPr>
          <w:rFonts w:ascii="宋体" w:hAnsi="宋体"/>
          <w:b/>
          <w:color w:val="auto"/>
          <w:spacing w:val="34"/>
          <w:kern w:val="0"/>
          <w:sz w:val="96"/>
        </w:rPr>
      </w:pPr>
    </w:p>
    <w:p>
      <w:pPr>
        <w:autoSpaceDE w:val="0"/>
        <w:autoSpaceDN w:val="0"/>
        <w:adjustRightInd w:val="0"/>
        <w:snapToGrid w:val="0"/>
        <w:spacing w:line="240" w:lineRule="atLeast"/>
        <w:jc w:val="center"/>
        <w:rPr>
          <w:rFonts w:ascii="宋体" w:hAnsi="宋体"/>
          <w:b/>
          <w:color w:val="auto"/>
          <w:spacing w:val="34"/>
          <w:kern w:val="0"/>
          <w:sz w:val="96"/>
        </w:rPr>
      </w:pPr>
      <w:r>
        <w:rPr>
          <w:rFonts w:hint="eastAsia" w:ascii="宋体" w:hAnsi="宋体"/>
          <w:b/>
          <w:color w:val="auto"/>
          <w:spacing w:val="34"/>
          <w:kern w:val="0"/>
          <w:sz w:val="96"/>
        </w:rPr>
        <w:t>竞争性比选文件</w:t>
      </w:r>
    </w:p>
    <w:p>
      <w:pPr>
        <w:autoSpaceDE w:val="0"/>
        <w:autoSpaceDN w:val="0"/>
        <w:adjustRightInd w:val="0"/>
        <w:snapToGrid w:val="0"/>
        <w:spacing w:line="500" w:lineRule="exact"/>
        <w:rPr>
          <w:rFonts w:ascii="宋体" w:hAnsi="宋体"/>
          <w:b/>
          <w:color w:val="auto"/>
          <w:spacing w:val="4"/>
          <w:kern w:val="0"/>
          <w:sz w:val="84"/>
          <w:szCs w:val="84"/>
        </w:rPr>
      </w:pPr>
    </w:p>
    <w:p>
      <w:pPr>
        <w:tabs>
          <w:tab w:val="left" w:pos="3676"/>
        </w:tabs>
        <w:autoSpaceDE w:val="0"/>
        <w:autoSpaceDN w:val="0"/>
        <w:adjustRightInd w:val="0"/>
        <w:snapToGrid w:val="0"/>
        <w:spacing w:line="500" w:lineRule="exact"/>
        <w:rPr>
          <w:rFonts w:ascii="宋体" w:hAnsi="宋体"/>
          <w:color w:val="auto"/>
          <w:spacing w:val="4"/>
          <w:kern w:val="0"/>
          <w:sz w:val="32"/>
        </w:rPr>
      </w:pPr>
    </w:p>
    <w:p>
      <w:pPr>
        <w:autoSpaceDE w:val="0"/>
        <w:autoSpaceDN w:val="0"/>
        <w:adjustRightInd w:val="0"/>
        <w:snapToGrid w:val="0"/>
        <w:spacing w:line="500" w:lineRule="exact"/>
        <w:rPr>
          <w:rFonts w:ascii="宋体" w:hAnsi="宋体"/>
          <w:b/>
          <w:color w:val="auto"/>
          <w:spacing w:val="4"/>
          <w:kern w:val="0"/>
          <w:sz w:val="32"/>
        </w:rPr>
      </w:pPr>
    </w:p>
    <w:p>
      <w:pPr>
        <w:autoSpaceDE w:val="0"/>
        <w:autoSpaceDN w:val="0"/>
        <w:adjustRightInd w:val="0"/>
        <w:snapToGrid w:val="0"/>
        <w:spacing w:line="500" w:lineRule="exact"/>
        <w:rPr>
          <w:rFonts w:ascii="宋体" w:hAnsi="宋体"/>
          <w:b/>
          <w:color w:val="auto"/>
          <w:spacing w:val="4"/>
          <w:kern w:val="0"/>
          <w:sz w:val="32"/>
        </w:rPr>
      </w:pPr>
    </w:p>
    <w:p>
      <w:pPr>
        <w:autoSpaceDE w:val="0"/>
        <w:autoSpaceDN w:val="0"/>
        <w:adjustRightInd w:val="0"/>
        <w:snapToGrid w:val="0"/>
        <w:spacing w:line="500" w:lineRule="exact"/>
        <w:rPr>
          <w:rFonts w:ascii="宋体" w:hAnsi="宋体"/>
          <w:b/>
          <w:color w:val="auto"/>
          <w:spacing w:val="4"/>
          <w:kern w:val="0"/>
          <w:sz w:val="32"/>
        </w:rPr>
      </w:pPr>
    </w:p>
    <w:p>
      <w:pPr>
        <w:autoSpaceDE w:val="0"/>
        <w:autoSpaceDN w:val="0"/>
        <w:adjustRightInd w:val="0"/>
        <w:snapToGrid w:val="0"/>
        <w:spacing w:line="500" w:lineRule="exact"/>
        <w:rPr>
          <w:rFonts w:ascii="宋体" w:hAnsi="宋体"/>
          <w:b/>
          <w:color w:val="auto"/>
          <w:spacing w:val="4"/>
          <w:kern w:val="0"/>
          <w:sz w:val="32"/>
        </w:rPr>
      </w:pPr>
    </w:p>
    <w:p>
      <w:pPr>
        <w:autoSpaceDE w:val="0"/>
        <w:autoSpaceDN w:val="0"/>
        <w:adjustRightInd w:val="0"/>
        <w:snapToGrid w:val="0"/>
        <w:spacing w:line="500" w:lineRule="exact"/>
        <w:rPr>
          <w:rFonts w:ascii="宋体" w:hAnsi="宋体"/>
          <w:b/>
          <w:color w:val="auto"/>
          <w:spacing w:val="4"/>
          <w:kern w:val="0"/>
          <w:sz w:val="32"/>
        </w:rPr>
      </w:pPr>
    </w:p>
    <w:p>
      <w:pPr>
        <w:pStyle w:val="3"/>
      </w:pPr>
    </w:p>
    <w:p>
      <w:pPr>
        <w:autoSpaceDE w:val="0"/>
        <w:autoSpaceDN w:val="0"/>
        <w:adjustRightInd w:val="0"/>
        <w:snapToGrid w:val="0"/>
        <w:spacing w:line="500" w:lineRule="exact"/>
        <w:rPr>
          <w:rFonts w:ascii="宋体" w:hAnsi="宋体"/>
          <w:b/>
          <w:color w:val="auto"/>
          <w:spacing w:val="4"/>
          <w:kern w:val="0"/>
          <w:sz w:val="32"/>
        </w:rPr>
      </w:pPr>
    </w:p>
    <w:p>
      <w:pPr>
        <w:spacing w:line="480" w:lineRule="exact"/>
        <w:ind w:firstLine="916" w:firstLineChars="300"/>
        <w:rPr>
          <w:rFonts w:hint="eastAsia" w:ascii="宋体" w:hAnsi="宋体" w:eastAsia="宋体" w:cs="Times New Roman"/>
          <w:b/>
          <w:color w:val="auto"/>
          <w:spacing w:val="-8"/>
          <w:kern w:val="0"/>
          <w:sz w:val="32"/>
          <w:lang w:eastAsia="zh-CN"/>
        </w:rPr>
      </w:pPr>
      <w:r>
        <w:rPr>
          <w:rFonts w:hint="eastAsia" w:ascii="宋体" w:hAnsi="宋体" w:eastAsia="宋体" w:cs="Times New Roman"/>
          <w:b/>
          <w:color w:val="auto"/>
          <w:spacing w:val="-8"/>
          <w:kern w:val="0"/>
          <w:sz w:val="32"/>
          <w:lang w:eastAsia="zh-CN"/>
        </w:rPr>
        <w:t>比   选   人：</w:t>
      </w:r>
      <w:r>
        <w:rPr>
          <w:rFonts w:hint="eastAsia" w:ascii="宋体" w:hAnsi="宋体" w:cs="Times New Roman"/>
          <w:b/>
          <w:color w:val="auto"/>
          <w:spacing w:val="-8"/>
          <w:kern w:val="0"/>
          <w:sz w:val="32"/>
          <w:lang w:eastAsia="zh-CN"/>
        </w:rPr>
        <w:t>重庆安居古城华夏文化旅游发展有限公司</w:t>
      </w:r>
    </w:p>
    <w:p>
      <w:pPr>
        <w:spacing w:line="480" w:lineRule="exact"/>
        <w:ind w:firstLine="916" w:firstLineChars="300"/>
        <w:rPr>
          <w:rFonts w:hint="eastAsia" w:ascii="宋体" w:hAnsi="宋体" w:eastAsia="宋体" w:cs="Times New Roman"/>
          <w:b/>
          <w:color w:val="auto"/>
          <w:spacing w:val="-8"/>
          <w:kern w:val="0"/>
          <w:sz w:val="32"/>
          <w:lang w:eastAsia="zh-CN"/>
        </w:rPr>
      </w:pPr>
    </w:p>
    <w:p>
      <w:pPr>
        <w:spacing w:line="480" w:lineRule="exact"/>
        <w:ind w:firstLine="916" w:firstLineChars="300"/>
        <w:rPr>
          <w:rFonts w:hint="eastAsia" w:ascii="宋体" w:hAnsi="宋体" w:eastAsia="宋体" w:cs="Times New Roman"/>
          <w:b/>
          <w:color w:val="auto"/>
          <w:spacing w:val="-8"/>
          <w:kern w:val="0"/>
          <w:sz w:val="32"/>
          <w:lang w:eastAsia="zh-CN"/>
        </w:rPr>
      </w:pPr>
      <w:r>
        <w:rPr>
          <w:rFonts w:hint="eastAsia" w:ascii="宋体" w:hAnsi="宋体" w:eastAsia="宋体" w:cs="Times New Roman"/>
          <w:b/>
          <w:color w:val="auto"/>
          <w:spacing w:val="-8"/>
          <w:kern w:val="0"/>
          <w:sz w:val="32"/>
          <w:lang w:eastAsia="zh-CN"/>
        </w:rPr>
        <w:t>比选代理机构：</w:t>
      </w:r>
      <w:r>
        <w:rPr>
          <w:rFonts w:hint="eastAsia" w:ascii="宋体" w:hAnsi="宋体" w:cs="Times New Roman"/>
          <w:b/>
          <w:color w:val="auto"/>
          <w:spacing w:val="-8"/>
          <w:kern w:val="0"/>
          <w:sz w:val="32"/>
          <w:lang w:eastAsia="zh-CN"/>
        </w:rPr>
        <w:t>重庆共赢工程项目管理咨询有限公司</w:t>
      </w:r>
    </w:p>
    <w:p>
      <w:pPr>
        <w:spacing w:line="480" w:lineRule="exact"/>
        <w:ind w:firstLine="916" w:firstLineChars="300"/>
        <w:rPr>
          <w:rFonts w:hint="eastAsia" w:ascii="宋体" w:hAnsi="宋体" w:eastAsia="宋体" w:cs="Times New Roman"/>
          <w:b/>
          <w:color w:val="auto"/>
          <w:spacing w:val="-8"/>
          <w:kern w:val="0"/>
          <w:sz w:val="32"/>
          <w:lang w:eastAsia="zh-CN"/>
        </w:rPr>
      </w:pPr>
    </w:p>
    <w:p>
      <w:pPr>
        <w:autoSpaceDE w:val="0"/>
        <w:autoSpaceDN w:val="0"/>
        <w:adjustRightInd w:val="0"/>
        <w:snapToGrid w:val="0"/>
        <w:spacing w:line="500" w:lineRule="exact"/>
        <w:ind w:firstLine="788" w:firstLineChars="258"/>
        <w:rPr>
          <w:rFonts w:ascii="宋体" w:hAnsi="宋体"/>
          <w:b/>
          <w:color w:val="auto"/>
          <w:spacing w:val="-8"/>
          <w:kern w:val="0"/>
          <w:sz w:val="32"/>
        </w:rPr>
      </w:pPr>
    </w:p>
    <w:p>
      <w:pPr>
        <w:tabs>
          <w:tab w:val="left" w:pos="3200"/>
          <w:tab w:val="left" w:pos="4320"/>
          <w:tab w:val="left" w:pos="5420"/>
        </w:tabs>
        <w:autoSpaceDE w:val="0"/>
        <w:autoSpaceDN w:val="0"/>
        <w:adjustRightInd w:val="0"/>
        <w:snapToGrid w:val="0"/>
        <w:spacing w:line="360" w:lineRule="auto"/>
        <w:jc w:val="center"/>
        <w:rPr>
          <w:rFonts w:hint="eastAsia" w:ascii="宋体" w:hAnsi="宋体"/>
          <w:b/>
          <w:color w:val="auto"/>
          <w:sz w:val="30"/>
          <w:szCs w:val="30"/>
        </w:rPr>
      </w:pPr>
      <w:r>
        <w:rPr>
          <w:rFonts w:hint="eastAsia" w:ascii="宋体" w:hAnsi="宋体"/>
          <w:b/>
          <w:color w:val="auto"/>
          <w:sz w:val="30"/>
          <w:szCs w:val="30"/>
          <w:lang w:val="en-US" w:eastAsia="zh-CN"/>
        </w:rPr>
        <w:t>二〇二二年七</w:t>
      </w:r>
      <w:r>
        <w:rPr>
          <w:rFonts w:hint="eastAsia" w:ascii="宋体" w:hAnsi="宋体"/>
          <w:b/>
          <w:color w:val="auto"/>
          <w:sz w:val="30"/>
          <w:szCs w:val="30"/>
        </w:rPr>
        <w:t>月</w:t>
      </w:r>
    </w:p>
    <w:p>
      <w:pPr>
        <w:tabs>
          <w:tab w:val="left" w:pos="673"/>
        </w:tabs>
        <w:jc w:val="left"/>
        <w:rPr>
          <w:rFonts w:hint="eastAsia"/>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pgNumType w:start="1"/>
          <w:cols w:space="720" w:num="1"/>
          <w:titlePg/>
          <w:docGrid w:linePitch="312" w:charSpace="0"/>
        </w:sectPr>
      </w:pPr>
    </w:p>
    <w:p>
      <w:pPr>
        <w:autoSpaceDE w:val="0"/>
        <w:autoSpaceDN w:val="0"/>
        <w:adjustRightInd w:val="0"/>
        <w:snapToGrid w:val="0"/>
        <w:spacing w:line="360" w:lineRule="auto"/>
        <w:jc w:val="center"/>
        <w:rPr>
          <w:rFonts w:hint="eastAsia" w:ascii="宋体" w:hAnsi="宋体" w:cs="MingLiU"/>
          <w:b/>
          <w:color w:val="auto"/>
          <w:kern w:val="0"/>
          <w:sz w:val="44"/>
          <w:szCs w:val="44"/>
          <w:lang w:eastAsia="zh-CN"/>
        </w:rPr>
      </w:pPr>
      <w:r>
        <w:rPr>
          <w:rFonts w:hint="eastAsia" w:ascii="宋体" w:hAnsi="宋体" w:cs="MingLiU"/>
          <w:b/>
          <w:color w:val="auto"/>
          <w:kern w:val="0"/>
          <w:sz w:val="44"/>
          <w:szCs w:val="44"/>
        </w:rPr>
        <w:t>目   录</w:t>
      </w:r>
    </w:p>
    <w:p>
      <w:pPr>
        <w:pStyle w:val="37"/>
        <w:pageBreakBefore w:val="0"/>
        <w:widowControl w:val="0"/>
        <w:tabs>
          <w:tab w:val="right" w:leader="dot" w:pos="9214"/>
          <w:tab w:val="clear" w:pos="8608"/>
        </w:tabs>
        <w:kinsoku/>
        <w:wordWrap/>
        <w:overflowPunct/>
        <w:topLinePunct w:val="0"/>
        <w:autoSpaceDE/>
        <w:autoSpaceDN/>
        <w:bidi w:val="0"/>
        <w:adjustRightInd/>
        <w:snapToGrid/>
        <w:spacing w:line="700" w:lineRule="exact"/>
        <w:ind w:firstLine="640" w:firstLineChars="200"/>
        <w:jc w:val="left"/>
        <w:textAlignment w:val="auto"/>
        <w:rPr>
          <w:b w:val="0"/>
          <w:bCs w:val="0"/>
          <w:caps w:val="0"/>
          <w:color w:val="auto"/>
          <w:kern w:val="2"/>
          <w:sz w:val="32"/>
          <w:szCs w:val="32"/>
          <w:lang w:val="en-US" w:eastAsia="zh-CN"/>
        </w:rPr>
      </w:pPr>
      <w:r>
        <w:rPr>
          <w:rFonts w:cs="MingLiU"/>
          <w:b w:val="0"/>
          <w:color w:val="auto"/>
          <w:kern w:val="0"/>
          <w:sz w:val="32"/>
          <w:szCs w:val="32"/>
        </w:rPr>
        <w:fldChar w:fldCharType="begin"/>
      </w:r>
      <w:r>
        <w:rPr>
          <w:rFonts w:cs="MingLiU"/>
          <w:b w:val="0"/>
          <w:color w:val="auto"/>
          <w:kern w:val="0"/>
          <w:sz w:val="32"/>
          <w:szCs w:val="32"/>
        </w:rPr>
        <w:instrText xml:space="preserve"> </w:instrText>
      </w:r>
      <w:r>
        <w:rPr>
          <w:rFonts w:hint="eastAsia" w:cs="MingLiU"/>
          <w:b w:val="0"/>
          <w:color w:val="auto"/>
          <w:kern w:val="0"/>
          <w:sz w:val="32"/>
          <w:szCs w:val="32"/>
        </w:rPr>
        <w:instrText xml:space="preserve">TOC \o "1-1" \h \z \u</w:instrText>
      </w:r>
      <w:r>
        <w:rPr>
          <w:rFonts w:cs="MingLiU"/>
          <w:b w:val="0"/>
          <w:color w:val="auto"/>
          <w:kern w:val="0"/>
          <w:sz w:val="32"/>
          <w:szCs w:val="32"/>
        </w:rPr>
        <w:instrText xml:space="preserve"> </w:instrText>
      </w:r>
      <w:r>
        <w:rPr>
          <w:rFonts w:cs="MingLiU"/>
          <w:b w:val="0"/>
          <w:color w:val="auto"/>
          <w:kern w:val="0"/>
          <w:sz w:val="32"/>
          <w:szCs w:val="32"/>
        </w:rPr>
        <w:fldChar w:fldCharType="separate"/>
      </w:r>
      <w:r>
        <w:rPr>
          <w:b w:val="0"/>
          <w:color w:val="auto"/>
          <w:sz w:val="32"/>
          <w:szCs w:val="32"/>
        </w:rPr>
        <w:fldChar w:fldCharType="begin"/>
      </w:r>
      <w:r>
        <w:rPr>
          <w:rStyle w:val="59"/>
          <w:rFonts w:eastAsia="宋体"/>
          <w:b w:val="0"/>
          <w:color w:val="auto"/>
          <w:sz w:val="32"/>
          <w:szCs w:val="32"/>
        </w:rPr>
        <w:instrText xml:space="preserve"> </w:instrText>
      </w:r>
      <w:r>
        <w:rPr>
          <w:b w:val="0"/>
          <w:color w:val="auto"/>
          <w:sz w:val="32"/>
          <w:szCs w:val="32"/>
        </w:rPr>
        <w:instrText xml:space="preserve">HYPERLINK \l "_Toc513492487"</w:instrText>
      </w:r>
      <w:r>
        <w:rPr>
          <w:rStyle w:val="59"/>
          <w:rFonts w:eastAsia="宋体"/>
          <w:b w:val="0"/>
          <w:color w:val="auto"/>
          <w:sz w:val="32"/>
          <w:szCs w:val="32"/>
        </w:rPr>
        <w:instrText xml:space="preserve"> </w:instrText>
      </w:r>
      <w:r>
        <w:rPr>
          <w:b w:val="0"/>
          <w:color w:val="auto"/>
          <w:sz w:val="32"/>
          <w:szCs w:val="32"/>
        </w:rPr>
        <w:fldChar w:fldCharType="separate"/>
      </w:r>
      <w:r>
        <w:rPr>
          <w:rStyle w:val="59"/>
          <w:rFonts w:hint="eastAsia" w:eastAsia="宋体"/>
          <w:b w:val="0"/>
          <w:color w:val="auto"/>
          <w:kern w:val="0"/>
          <w:sz w:val="32"/>
          <w:szCs w:val="32"/>
        </w:rPr>
        <w:t>第一章</w:t>
      </w:r>
      <w:r>
        <w:rPr>
          <w:rStyle w:val="59"/>
          <w:rFonts w:hint="eastAsia" w:eastAsia="宋体"/>
          <w:b w:val="0"/>
          <w:color w:val="auto"/>
          <w:kern w:val="0"/>
          <w:sz w:val="32"/>
          <w:szCs w:val="32"/>
          <w:lang w:eastAsia="zh-CN"/>
        </w:rPr>
        <w:t xml:space="preserve"> </w:t>
      </w:r>
      <w:r>
        <w:rPr>
          <w:rStyle w:val="59"/>
          <w:rFonts w:eastAsia="宋体"/>
          <w:b w:val="0"/>
          <w:color w:val="auto"/>
          <w:kern w:val="0"/>
          <w:sz w:val="32"/>
          <w:szCs w:val="32"/>
        </w:rPr>
        <w:t xml:space="preserve"> </w:t>
      </w:r>
      <w:r>
        <w:rPr>
          <w:rStyle w:val="59"/>
          <w:rFonts w:hint="eastAsia" w:eastAsia="宋体"/>
          <w:b w:val="0"/>
          <w:color w:val="auto"/>
          <w:kern w:val="0"/>
          <w:sz w:val="32"/>
          <w:szCs w:val="32"/>
          <w:lang w:eastAsia="zh-CN"/>
        </w:rPr>
        <w:t>竞争性比选</w:t>
      </w:r>
      <w:r>
        <w:rPr>
          <w:rStyle w:val="59"/>
          <w:rFonts w:hint="eastAsia" w:eastAsia="宋体"/>
          <w:b w:val="0"/>
          <w:color w:val="auto"/>
          <w:kern w:val="0"/>
          <w:sz w:val="32"/>
          <w:szCs w:val="32"/>
        </w:rPr>
        <w:t>公告</w:t>
      </w:r>
      <w:r>
        <w:rPr>
          <w:b w:val="0"/>
          <w:color w:val="auto"/>
          <w:sz w:val="32"/>
          <w:szCs w:val="32"/>
        </w:rPr>
        <w:tab/>
      </w:r>
      <w:r>
        <w:rPr>
          <w:b w:val="0"/>
          <w:color w:val="auto"/>
          <w:sz w:val="32"/>
          <w:szCs w:val="32"/>
        </w:rPr>
        <w:fldChar w:fldCharType="begin"/>
      </w:r>
      <w:r>
        <w:rPr>
          <w:b w:val="0"/>
          <w:color w:val="auto"/>
          <w:sz w:val="32"/>
          <w:szCs w:val="32"/>
        </w:rPr>
        <w:instrText xml:space="preserve"> PAGEREF _Toc513492487 \h </w:instrText>
      </w:r>
      <w:r>
        <w:rPr>
          <w:b w:val="0"/>
          <w:color w:val="auto"/>
          <w:sz w:val="32"/>
          <w:szCs w:val="32"/>
        </w:rPr>
        <w:fldChar w:fldCharType="separate"/>
      </w:r>
      <w:r>
        <w:rPr>
          <w:b w:val="0"/>
          <w:color w:val="auto"/>
          <w:sz w:val="32"/>
          <w:szCs w:val="32"/>
        </w:rPr>
        <w:t>3</w:t>
      </w:r>
      <w:r>
        <w:rPr>
          <w:b w:val="0"/>
          <w:color w:val="auto"/>
          <w:sz w:val="32"/>
          <w:szCs w:val="32"/>
        </w:rPr>
        <w:fldChar w:fldCharType="end"/>
      </w:r>
      <w:r>
        <w:rPr>
          <w:b w:val="0"/>
          <w:color w:val="auto"/>
          <w:sz w:val="32"/>
          <w:szCs w:val="32"/>
        </w:rPr>
        <w:fldChar w:fldCharType="end"/>
      </w:r>
    </w:p>
    <w:p>
      <w:pPr>
        <w:pStyle w:val="37"/>
        <w:pageBreakBefore w:val="0"/>
        <w:widowControl w:val="0"/>
        <w:tabs>
          <w:tab w:val="right" w:leader="dot" w:pos="9214"/>
          <w:tab w:val="clear" w:pos="8608"/>
        </w:tabs>
        <w:kinsoku/>
        <w:wordWrap/>
        <w:overflowPunct/>
        <w:topLinePunct w:val="0"/>
        <w:autoSpaceDE/>
        <w:autoSpaceDN/>
        <w:bidi w:val="0"/>
        <w:adjustRightInd/>
        <w:snapToGrid/>
        <w:spacing w:line="700" w:lineRule="exact"/>
        <w:ind w:firstLine="640" w:firstLineChars="200"/>
        <w:jc w:val="left"/>
        <w:textAlignment w:val="auto"/>
        <w:rPr>
          <w:b w:val="0"/>
          <w:bCs w:val="0"/>
          <w:caps w:val="0"/>
          <w:color w:val="auto"/>
          <w:kern w:val="2"/>
          <w:sz w:val="32"/>
          <w:szCs w:val="32"/>
          <w:lang w:val="en-US" w:eastAsia="zh-CN"/>
        </w:rPr>
      </w:pPr>
      <w:r>
        <w:rPr>
          <w:b w:val="0"/>
          <w:color w:val="auto"/>
          <w:sz w:val="32"/>
          <w:szCs w:val="32"/>
        </w:rPr>
        <w:fldChar w:fldCharType="begin"/>
      </w:r>
      <w:r>
        <w:rPr>
          <w:rStyle w:val="59"/>
          <w:rFonts w:eastAsia="宋体"/>
          <w:b w:val="0"/>
          <w:color w:val="auto"/>
          <w:sz w:val="32"/>
          <w:szCs w:val="32"/>
        </w:rPr>
        <w:instrText xml:space="preserve"> </w:instrText>
      </w:r>
      <w:r>
        <w:rPr>
          <w:b w:val="0"/>
          <w:color w:val="auto"/>
          <w:sz w:val="32"/>
          <w:szCs w:val="32"/>
        </w:rPr>
        <w:instrText xml:space="preserve">HYPERLINK \l "_Toc513492488"</w:instrText>
      </w:r>
      <w:r>
        <w:rPr>
          <w:rStyle w:val="59"/>
          <w:rFonts w:eastAsia="宋体"/>
          <w:b w:val="0"/>
          <w:color w:val="auto"/>
          <w:sz w:val="32"/>
          <w:szCs w:val="32"/>
        </w:rPr>
        <w:instrText xml:space="preserve"> </w:instrText>
      </w:r>
      <w:r>
        <w:rPr>
          <w:b w:val="0"/>
          <w:color w:val="auto"/>
          <w:sz w:val="32"/>
          <w:szCs w:val="32"/>
        </w:rPr>
        <w:fldChar w:fldCharType="separate"/>
      </w:r>
      <w:r>
        <w:rPr>
          <w:rStyle w:val="59"/>
          <w:rFonts w:hint="eastAsia" w:eastAsia="宋体"/>
          <w:b w:val="0"/>
          <w:color w:val="auto"/>
          <w:kern w:val="0"/>
          <w:sz w:val="32"/>
          <w:szCs w:val="32"/>
        </w:rPr>
        <w:t>第二章</w:t>
      </w:r>
      <w:r>
        <w:rPr>
          <w:rStyle w:val="59"/>
          <w:rFonts w:eastAsia="宋体"/>
          <w:b w:val="0"/>
          <w:color w:val="auto"/>
          <w:kern w:val="0"/>
          <w:sz w:val="32"/>
          <w:szCs w:val="32"/>
        </w:rPr>
        <w:t xml:space="preserve"> </w:t>
      </w:r>
      <w:r>
        <w:rPr>
          <w:rStyle w:val="59"/>
          <w:rFonts w:hint="eastAsia" w:eastAsia="宋体"/>
          <w:b w:val="0"/>
          <w:color w:val="auto"/>
          <w:kern w:val="0"/>
          <w:sz w:val="32"/>
          <w:szCs w:val="32"/>
          <w:lang w:eastAsia="zh-CN"/>
        </w:rPr>
        <w:t xml:space="preserve"> </w:t>
      </w:r>
      <w:r>
        <w:rPr>
          <w:rStyle w:val="59"/>
          <w:rFonts w:hint="eastAsia" w:eastAsia="宋体"/>
          <w:b w:val="0"/>
          <w:color w:val="auto"/>
          <w:kern w:val="0"/>
          <w:sz w:val="32"/>
          <w:szCs w:val="32"/>
        </w:rPr>
        <w:t>投标人须知</w:t>
      </w:r>
      <w:r>
        <w:rPr>
          <w:b w:val="0"/>
          <w:color w:val="auto"/>
          <w:sz w:val="32"/>
          <w:szCs w:val="32"/>
        </w:rPr>
        <w:tab/>
      </w:r>
      <w:r>
        <w:rPr>
          <w:b w:val="0"/>
          <w:color w:val="auto"/>
          <w:sz w:val="32"/>
          <w:szCs w:val="32"/>
        </w:rPr>
        <w:fldChar w:fldCharType="begin"/>
      </w:r>
      <w:r>
        <w:rPr>
          <w:b w:val="0"/>
          <w:color w:val="auto"/>
          <w:sz w:val="32"/>
          <w:szCs w:val="32"/>
        </w:rPr>
        <w:instrText xml:space="preserve"> PAGEREF _Toc513492488 \h </w:instrText>
      </w:r>
      <w:r>
        <w:rPr>
          <w:b w:val="0"/>
          <w:color w:val="auto"/>
          <w:sz w:val="32"/>
          <w:szCs w:val="32"/>
        </w:rPr>
        <w:fldChar w:fldCharType="separate"/>
      </w:r>
      <w:r>
        <w:rPr>
          <w:b w:val="0"/>
          <w:color w:val="auto"/>
          <w:sz w:val="32"/>
          <w:szCs w:val="32"/>
        </w:rPr>
        <w:t>5</w:t>
      </w:r>
      <w:r>
        <w:rPr>
          <w:b w:val="0"/>
          <w:color w:val="auto"/>
          <w:sz w:val="32"/>
          <w:szCs w:val="32"/>
        </w:rPr>
        <w:fldChar w:fldCharType="end"/>
      </w:r>
      <w:r>
        <w:rPr>
          <w:b w:val="0"/>
          <w:color w:val="auto"/>
          <w:sz w:val="32"/>
          <w:szCs w:val="32"/>
        </w:rPr>
        <w:fldChar w:fldCharType="end"/>
      </w:r>
    </w:p>
    <w:p>
      <w:pPr>
        <w:pStyle w:val="37"/>
        <w:pageBreakBefore w:val="0"/>
        <w:widowControl w:val="0"/>
        <w:tabs>
          <w:tab w:val="right" w:leader="dot" w:pos="9214"/>
          <w:tab w:val="clear" w:pos="8608"/>
        </w:tabs>
        <w:kinsoku/>
        <w:wordWrap/>
        <w:overflowPunct/>
        <w:topLinePunct w:val="0"/>
        <w:autoSpaceDE/>
        <w:autoSpaceDN/>
        <w:bidi w:val="0"/>
        <w:adjustRightInd/>
        <w:snapToGrid/>
        <w:spacing w:line="700" w:lineRule="exact"/>
        <w:ind w:firstLine="640" w:firstLineChars="200"/>
        <w:jc w:val="left"/>
        <w:textAlignment w:val="auto"/>
        <w:rPr>
          <w:b w:val="0"/>
          <w:bCs w:val="0"/>
          <w:caps w:val="0"/>
          <w:color w:val="auto"/>
          <w:kern w:val="2"/>
          <w:sz w:val="32"/>
          <w:szCs w:val="32"/>
          <w:lang w:val="en-US" w:eastAsia="zh-CN"/>
        </w:rPr>
      </w:pPr>
      <w:r>
        <w:rPr>
          <w:b w:val="0"/>
          <w:color w:val="auto"/>
          <w:sz w:val="32"/>
          <w:szCs w:val="32"/>
        </w:rPr>
        <w:fldChar w:fldCharType="begin"/>
      </w:r>
      <w:r>
        <w:rPr>
          <w:rStyle w:val="59"/>
          <w:rFonts w:eastAsia="宋体"/>
          <w:b w:val="0"/>
          <w:color w:val="auto"/>
          <w:sz w:val="32"/>
          <w:szCs w:val="32"/>
        </w:rPr>
        <w:instrText xml:space="preserve"> </w:instrText>
      </w:r>
      <w:r>
        <w:rPr>
          <w:b w:val="0"/>
          <w:color w:val="auto"/>
          <w:sz w:val="32"/>
          <w:szCs w:val="32"/>
        </w:rPr>
        <w:instrText xml:space="preserve">HYPERLINK \l "_Toc513492489"</w:instrText>
      </w:r>
      <w:r>
        <w:rPr>
          <w:rStyle w:val="59"/>
          <w:rFonts w:eastAsia="宋体"/>
          <w:b w:val="0"/>
          <w:color w:val="auto"/>
          <w:sz w:val="32"/>
          <w:szCs w:val="32"/>
        </w:rPr>
        <w:instrText xml:space="preserve"> </w:instrText>
      </w:r>
      <w:r>
        <w:rPr>
          <w:b w:val="0"/>
          <w:color w:val="auto"/>
          <w:sz w:val="32"/>
          <w:szCs w:val="32"/>
        </w:rPr>
        <w:fldChar w:fldCharType="separate"/>
      </w:r>
      <w:r>
        <w:rPr>
          <w:rStyle w:val="59"/>
          <w:rFonts w:hint="eastAsia" w:eastAsia="宋体"/>
          <w:b w:val="0"/>
          <w:color w:val="auto"/>
          <w:kern w:val="0"/>
          <w:sz w:val="32"/>
          <w:szCs w:val="32"/>
        </w:rPr>
        <w:t>第三章</w:t>
      </w:r>
      <w:r>
        <w:rPr>
          <w:rStyle w:val="59"/>
          <w:rFonts w:eastAsia="宋体"/>
          <w:b w:val="0"/>
          <w:color w:val="auto"/>
          <w:kern w:val="0"/>
          <w:sz w:val="32"/>
          <w:szCs w:val="32"/>
        </w:rPr>
        <w:t xml:space="preserve"> </w:t>
      </w:r>
      <w:r>
        <w:rPr>
          <w:rStyle w:val="59"/>
          <w:rFonts w:hint="eastAsia" w:eastAsia="宋体"/>
          <w:b w:val="0"/>
          <w:color w:val="auto"/>
          <w:kern w:val="0"/>
          <w:sz w:val="32"/>
          <w:szCs w:val="32"/>
          <w:lang w:eastAsia="zh-CN"/>
        </w:rPr>
        <w:t xml:space="preserve"> </w:t>
      </w:r>
      <w:r>
        <w:rPr>
          <w:rStyle w:val="59"/>
          <w:rFonts w:hint="eastAsia" w:eastAsia="宋体"/>
          <w:b w:val="0"/>
          <w:color w:val="auto"/>
          <w:kern w:val="0"/>
          <w:sz w:val="32"/>
          <w:szCs w:val="32"/>
        </w:rPr>
        <w:t>评标办法（经评审的最低投标价法）</w:t>
      </w:r>
      <w:r>
        <w:rPr>
          <w:b w:val="0"/>
          <w:color w:val="auto"/>
          <w:sz w:val="32"/>
          <w:szCs w:val="32"/>
        </w:rPr>
        <w:tab/>
      </w:r>
      <w:r>
        <w:rPr>
          <w:b w:val="0"/>
          <w:color w:val="auto"/>
          <w:sz w:val="32"/>
          <w:szCs w:val="32"/>
        </w:rPr>
        <w:fldChar w:fldCharType="begin"/>
      </w:r>
      <w:r>
        <w:rPr>
          <w:b w:val="0"/>
          <w:color w:val="auto"/>
          <w:sz w:val="32"/>
          <w:szCs w:val="32"/>
        </w:rPr>
        <w:instrText xml:space="preserve"> PAGEREF _Toc513492489 \h </w:instrText>
      </w:r>
      <w:r>
        <w:rPr>
          <w:b w:val="0"/>
          <w:color w:val="auto"/>
          <w:sz w:val="32"/>
          <w:szCs w:val="32"/>
        </w:rPr>
        <w:fldChar w:fldCharType="separate"/>
      </w:r>
      <w:r>
        <w:rPr>
          <w:b w:val="0"/>
          <w:color w:val="auto"/>
          <w:sz w:val="32"/>
          <w:szCs w:val="32"/>
        </w:rPr>
        <w:t>23</w:t>
      </w:r>
      <w:r>
        <w:rPr>
          <w:b w:val="0"/>
          <w:color w:val="auto"/>
          <w:sz w:val="32"/>
          <w:szCs w:val="32"/>
        </w:rPr>
        <w:fldChar w:fldCharType="end"/>
      </w:r>
      <w:r>
        <w:rPr>
          <w:b w:val="0"/>
          <w:color w:val="auto"/>
          <w:sz w:val="32"/>
          <w:szCs w:val="32"/>
        </w:rPr>
        <w:fldChar w:fldCharType="end"/>
      </w:r>
    </w:p>
    <w:p>
      <w:pPr>
        <w:pStyle w:val="37"/>
        <w:pageBreakBefore w:val="0"/>
        <w:widowControl w:val="0"/>
        <w:tabs>
          <w:tab w:val="right" w:leader="dot" w:pos="9214"/>
          <w:tab w:val="clear" w:pos="8608"/>
        </w:tabs>
        <w:kinsoku/>
        <w:wordWrap/>
        <w:overflowPunct/>
        <w:topLinePunct w:val="0"/>
        <w:autoSpaceDE/>
        <w:autoSpaceDN/>
        <w:bidi w:val="0"/>
        <w:adjustRightInd/>
        <w:snapToGrid/>
        <w:spacing w:line="700" w:lineRule="exact"/>
        <w:ind w:firstLine="640" w:firstLineChars="200"/>
        <w:jc w:val="left"/>
        <w:textAlignment w:val="auto"/>
        <w:rPr>
          <w:b w:val="0"/>
          <w:bCs w:val="0"/>
          <w:caps w:val="0"/>
          <w:color w:val="auto"/>
          <w:kern w:val="2"/>
          <w:sz w:val="32"/>
          <w:szCs w:val="32"/>
          <w:lang w:val="en-US" w:eastAsia="zh-CN"/>
        </w:rPr>
      </w:pPr>
      <w:r>
        <w:rPr>
          <w:b w:val="0"/>
          <w:color w:val="auto"/>
          <w:sz w:val="32"/>
          <w:szCs w:val="32"/>
        </w:rPr>
        <w:fldChar w:fldCharType="begin"/>
      </w:r>
      <w:r>
        <w:rPr>
          <w:rStyle w:val="59"/>
          <w:rFonts w:eastAsia="宋体"/>
          <w:b w:val="0"/>
          <w:color w:val="auto"/>
          <w:sz w:val="32"/>
          <w:szCs w:val="32"/>
        </w:rPr>
        <w:instrText xml:space="preserve"> </w:instrText>
      </w:r>
      <w:r>
        <w:rPr>
          <w:b w:val="0"/>
          <w:color w:val="auto"/>
          <w:sz w:val="32"/>
          <w:szCs w:val="32"/>
        </w:rPr>
        <w:instrText xml:space="preserve">HYPERLINK \l "_Toc513492490"</w:instrText>
      </w:r>
      <w:r>
        <w:rPr>
          <w:rStyle w:val="59"/>
          <w:rFonts w:eastAsia="宋体"/>
          <w:b w:val="0"/>
          <w:color w:val="auto"/>
          <w:sz w:val="32"/>
          <w:szCs w:val="32"/>
        </w:rPr>
        <w:instrText xml:space="preserve"> </w:instrText>
      </w:r>
      <w:r>
        <w:rPr>
          <w:b w:val="0"/>
          <w:color w:val="auto"/>
          <w:sz w:val="32"/>
          <w:szCs w:val="32"/>
        </w:rPr>
        <w:fldChar w:fldCharType="separate"/>
      </w:r>
      <w:r>
        <w:rPr>
          <w:rStyle w:val="59"/>
          <w:rFonts w:hint="eastAsia" w:eastAsia="宋体"/>
          <w:b w:val="0"/>
          <w:color w:val="auto"/>
          <w:kern w:val="0"/>
          <w:sz w:val="32"/>
          <w:szCs w:val="32"/>
        </w:rPr>
        <w:t>第四章</w:t>
      </w:r>
      <w:r>
        <w:rPr>
          <w:rStyle w:val="59"/>
          <w:rFonts w:hint="eastAsia" w:eastAsia="宋体"/>
          <w:b w:val="0"/>
          <w:color w:val="auto"/>
          <w:kern w:val="0"/>
          <w:sz w:val="32"/>
          <w:szCs w:val="32"/>
          <w:lang w:eastAsia="zh-CN"/>
        </w:rPr>
        <w:t xml:space="preserve">  </w:t>
      </w:r>
      <w:r>
        <w:rPr>
          <w:rStyle w:val="59"/>
          <w:rFonts w:hint="eastAsia" w:eastAsia="宋体"/>
          <w:b w:val="0"/>
          <w:color w:val="auto"/>
          <w:kern w:val="0"/>
          <w:sz w:val="32"/>
          <w:szCs w:val="32"/>
        </w:rPr>
        <w:t>合同条款及</w:t>
      </w:r>
      <w:bookmarkStart w:id="6" w:name="_Hlt514795948"/>
      <w:r>
        <w:rPr>
          <w:rStyle w:val="59"/>
          <w:rFonts w:hint="eastAsia" w:eastAsia="宋体"/>
          <w:b w:val="0"/>
          <w:color w:val="auto"/>
          <w:kern w:val="0"/>
          <w:sz w:val="32"/>
          <w:szCs w:val="32"/>
        </w:rPr>
        <w:t>格</w:t>
      </w:r>
      <w:bookmarkEnd w:id="6"/>
      <w:r>
        <w:rPr>
          <w:rStyle w:val="59"/>
          <w:rFonts w:hint="eastAsia" w:eastAsia="宋体"/>
          <w:b w:val="0"/>
          <w:color w:val="auto"/>
          <w:kern w:val="0"/>
          <w:sz w:val="32"/>
          <w:szCs w:val="32"/>
        </w:rPr>
        <w:t>式</w:t>
      </w:r>
      <w:r>
        <w:rPr>
          <w:b w:val="0"/>
          <w:color w:val="auto"/>
          <w:sz w:val="32"/>
          <w:szCs w:val="32"/>
        </w:rPr>
        <w:tab/>
      </w:r>
      <w:bookmarkStart w:id="7" w:name="_Hlt514795804"/>
      <w:bookmarkStart w:id="8" w:name="_Hlt514795805"/>
      <w:r>
        <w:rPr>
          <w:b w:val="0"/>
          <w:color w:val="auto"/>
          <w:sz w:val="32"/>
          <w:szCs w:val="32"/>
        </w:rPr>
        <w:fldChar w:fldCharType="begin"/>
      </w:r>
      <w:r>
        <w:rPr>
          <w:b w:val="0"/>
          <w:color w:val="auto"/>
          <w:sz w:val="32"/>
          <w:szCs w:val="32"/>
        </w:rPr>
        <w:instrText xml:space="preserve"> PAGEREF _Toc513492490 \h </w:instrText>
      </w:r>
      <w:r>
        <w:rPr>
          <w:b w:val="0"/>
          <w:color w:val="auto"/>
          <w:sz w:val="32"/>
          <w:szCs w:val="32"/>
        </w:rPr>
        <w:fldChar w:fldCharType="separate"/>
      </w:r>
      <w:r>
        <w:rPr>
          <w:b w:val="0"/>
          <w:color w:val="auto"/>
          <w:sz w:val="32"/>
          <w:szCs w:val="32"/>
        </w:rPr>
        <w:t>24</w:t>
      </w:r>
      <w:r>
        <w:rPr>
          <w:b w:val="0"/>
          <w:color w:val="auto"/>
          <w:sz w:val="32"/>
          <w:szCs w:val="32"/>
        </w:rPr>
        <w:fldChar w:fldCharType="end"/>
      </w:r>
      <w:bookmarkEnd w:id="7"/>
      <w:bookmarkEnd w:id="8"/>
      <w:r>
        <w:rPr>
          <w:b w:val="0"/>
          <w:color w:val="auto"/>
          <w:sz w:val="32"/>
          <w:szCs w:val="32"/>
        </w:rPr>
        <w:fldChar w:fldCharType="end"/>
      </w:r>
    </w:p>
    <w:p>
      <w:pPr>
        <w:pStyle w:val="37"/>
        <w:pageBreakBefore w:val="0"/>
        <w:widowControl w:val="0"/>
        <w:tabs>
          <w:tab w:val="right" w:leader="dot" w:pos="9214"/>
          <w:tab w:val="clear" w:pos="8608"/>
        </w:tabs>
        <w:kinsoku/>
        <w:wordWrap/>
        <w:overflowPunct/>
        <w:topLinePunct w:val="0"/>
        <w:autoSpaceDE/>
        <w:autoSpaceDN/>
        <w:bidi w:val="0"/>
        <w:adjustRightInd/>
        <w:snapToGrid/>
        <w:spacing w:line="700" w:lineRule="exact"/>
        <w:ind w:firstLine="640" w:firstLineChars="200"/>
        <w:jc w:val="left"/>
        <w:textAlignment w:val="auto"/>
        <w:rPr>
          <w:b w:val="0"/>
          <w:bCs w:val="0"/>
          <w:caps w:val="0"/>
          <w:color w:val="auto"/>
          <w:kern w:val="2"/>
          <w:sz w:val="32"/>
          <w:szCs w:val="32"/>
          <w:lang w:val="en-US" w:eastAsia="zh-CN"/>
        </w:rPr>
      </w:pPr>
      <w:r>
        <w:rPr>
          <w:b w:val="0"/>
          <w:color w:val="auto"/>
          <w:sz w:val="32"/>
          <w:szCs w:val="32"/>
        </w:rPr>
        <w:fldChar w:fldCharType="begin"/>
      </w:r>
      <w:r>
        <w:rPr>
          <w:rStyle w:val="59"/>
          <w:rFonts w:eastAsia="宋体"/>
          <w:b w:val="0"/>
          <w:color w:val="auto"/>
          <w:sz w:val="32"/>
          <w:szCs w:val="32"/>
        </w:rPr>
        <w:instrText xml:space="preserve"> </w:instrText>
      </w:r>
      <w:r>
        <w:rPr>
          <w:b w:val="0"/>
          <w:color w:val="auto"/>
          <w:sz w:val="32"/>
          <w:szCs w:val="32"/>
        </w:rPr>
        <w:instrText xml:space="preserve">HYPERLINK \l "_Toc513492491"</w:instrText>
      </w:r>
      <w:r>
        <w:rPr>
          <w:rStyle w:val="59"/>
          <w:rFonts w:eastAsia="宋体"/>
          <w:b w:val="0"/>
          <w:color w:val="auto"/>
          <w:sz w:val="32"/>
          <w:szCs w:val="32"/>
        </w:rPr>
        <w:instrText xml:space="preserve"> </w:instrText>
      </w:r>
      <w:r>
        <w:rPr>
          <w:b w:val="0"/>
          <w:color w:val="auto"/>
          <w:sz w:val="32"/>
          <w:szCs w:val="32"/>
        </w:rPr>
        <w:fldChar w:fldCharType="separate"/>
      </w:r>
      <w:r>
        <w:rPr>
          <w:rStyle w:val="59"/>
          <w:rFonts w:hint="eastAsia" w:eastAsia="宋体"/>
          <w:b w:val="0"/>
          <w:color w:val="auto"/>
          <w:sz w:val="32"/>
          <w:szCs w:val="32"/>
        </w:rPr>
        <w:t>第五章</w:t>
      </w:r>
      <w:r>
        <w:rPr>
          <w:rStyle w:val="59"/>
          <w:rFonts w:hint="eastAsia" w:eastAsia="宋体"/>
          <w:b w:val="0"/>
          <w:color w:val="auto"/>
          <w:sz w:val="32"/>
          <w:szCs w:val="32"/>
          <w:lang w:eastAsia="zh-CN"/>
        </w:rPr>
        <w:t xml:space="preserve">  </w:t>
      </w:r>
      <w:r>
        <w:rPr>
          <w:rStyle w:val="59"/>
          <w:rFonts w:hint="eastAsia" w:eastAsia="宋体"/>
          <w:b w:val="0"/>
          <w:color w:val="auto"/>
          <w:sz w:val="32"/>
          <w:szCs w:val="32"/>
        </w:rPr>
        <w:t>工程量清单</w:t>
      </w:r>
      <w:r>
        <w:rPr>
          <w:b w:val="0"/>
          <w:color w:val="auto"/>
          <w:sz w:val="32"/>
          <w:szCs w:val="32"/>
        </w:rPr>
        <w:tab/>
      </w:r>
      <w:r>
        <w:rPr>
          <w:b w:val="0"/>
          <w:color w:val="auto"/>
          <w:sz w:val="32"/>
          <w:szCs w:val="32"/>
        </w:rPr>
        <w:fldChar w:fldCharType="begin"/>
      </w:r>
      <w:r>
        <w:rPr>
          <w:b w:val="0"/>
          <w:color w:val="auto"/>
          <w:sz w:val="32"/>
          <w:szCs w:val="32"/>
        </w:rPr>
        <w:instrText xml:space="preserve"> PAGEREF _Toc513492491 \h </w:instrText>
      </w:r>
      <w:r>
        <w:rPr>
          <w:b w:val="0"/>
          <w:color w:val="auto"/>
          <w:sz w:val="32"/>
          <w:szCs w:val="32"/>
        </w:rPr>
        <w:fldChar w:fldCharType="separate"/>
      </w:r>
      <w:r>
        <w:rPr>
          <w:b w:val="0"/>
          <w:color w:val="auto"/>
          <w:sz w:val="32"/>
          <w:szCs w:val="32"/>
        </w:rPr>
        <w:t>49</w:t>
      </w:r>
      <w:r>
        <w:rPr>
          <w:b w:val="0"/>
          <w:color w:val="auto"/>
          <w:sz w:val="32"/>
          <w:szCs w:val="32"/>
        </w:rPr>
        <w:fldChar w:fldCharType="end"/>
      </w:r>
      <w:r>
        <w:rPr>
          <w:b w:val="0"/>
          <w:color w:val="auto"/>
          <w:sz w:val="32"/>
          <w:szCs w:val="32"/>
        </w:rPr>
        <w:fldChar w:fldCharType="end"/>
      </w:r>
    </w:p>
    <w:p>
      <w:pPr>
        <w:pStyle w:val="37"/>
        <w:pageBreakBefore w:val="0"/>
        <w:widowControl w:val="0"/>
        <w:tabs>
          <w:tab w:val="right" w:leader="dot" w:pos="9214"/>
          <w:tab w:val="clear" w:pos="8608"/>
        </w:tabs>
        <w:kinsoku/>
        <w:wordWrap/>
        <w:overflowPunct/>
        <w:topLinePunct w:val="0"/>
        <w:autoSpaceDE/>
        <w:autoSpaceDN/>
        <w:bidi w:val="0"/>
        <w:adjustRightInd/>
        <w:snapToGrid/>
        <w:spacing w:line="700" w:lineRule="exact"/>
        <w:ind w:firstLine="640" w:firstLineChars="200"/>
        <w:jc w:val="left"/>
        <w:textAlignment w:val="auto"/>
        <w:rPr>
          <w:b w:val="0"/>
          <w:bCs w:val="0"/>
          <w:caps w:val="0"/>
          <w:color w:val="auto"/>
          <w:kern w:val="2"/>
          <w:sz w:val="32"/>
          <w:szCs w:val="32"/>
          <w:lang w:val="en-US" w:eastAsia="zh-CN"/>
        </w:rPr>
      </w:pPr>
      <w:r>
        <w:rPr>
          <w:b w:val="0"/>
          <w:color w:val="auto"/>
          <w:sz w:val="32"/>
          <w:szCs w:val="32"/>
        </w:rPr>
        <w:fldChar w:fldCharType="begin"/>
      </w:r>
      <w:r>
        <w:rPr>
          <w:rStyle w:val="59"/>
          <w:rFonts w:eastAsia="宋体"/>
          <w:b w:val="0"/>
          <w:color w:val="auto"/>
          <w:sz w:val="32"/>
          <w:szCs w:val="32"/>
        </w:rPr>
        <w:instrText xml:space="preserve"> </w:instrText>
      </w:r>
      <w:r>
        <w:rPr>
          <w:b w:val="0"/>
          <w:color w:val="auto"/>
          <w:sz w:val="32"/>
          <w:szCs w:val="32"/>
        </w:rPr>
        <w:instrText xml:space="preserve">HYPERLINK \l "_Toc513492492"</w:instrText>
      </w:r>
      <w:r>
        <w:rPr>
          <w:rStyle w:val="59"/>
          <w:rFonts w:eastAsia="宋体"/>
          <w:b w:val="0"/>
          <w:color w:val="auto"/>
          <w:sz w:val="32"/>
          <w:szCs w:val="32"/>
        </w:rPr>
        <w:instrText xml:space="preserve"> </w:instrText>
      </w:r>
      <w:r>
        <w:rPr>
          <w:b w:val="0"/>
          <w:color w:val="auto"/>
          <w:sz w:val="32"/>
          <w:szCs w:val="32"/>
        </w:rPr>
        <w:fldChar w:fldCharType="separate"/>
      </w:r>
      <w:r>
        <w:rPr>
          <w:rStyle w:val="59"/>
          <w:rFonts w:hint="eastAsia" w:eastAsia="宋体"/>
          <w:b w:val="0"/>
          <w:color w:val="auto"/>
          <w:sz w:val="32"/>
          <w:szCs w:val="32"/>
        </w:rPr>
        <w:t>第六章</w:t>
      </w:r>
      <w:r>
        <w:rPr>
          <w:rStyle w:val="59"/>
          <w:rFonts w:eastAsia="宋体"/>
          <w:b w:val="0"/>
          <w:color w:val="auto"/>
          <w:sz w:val="32"/>
          <w:szCs w:val="32"/>
        </w:rPr>
        <w:t xml:space="preserve"> </w:t>
      </w:r>
      <w:r>
        <w:rPr>
          <w:rStyle w:val="59"/>
          <w:rFonts w:hint="eastAsia" w:eastAsia="宋体"/>
          <w:b w:val="0"/>
          <w:color w:val="auto"/>
          <w:sz w:val="32"/>
          <w:szCs w:val="32"/>
          <w:lang w:eastAsia="zh-CN"/>
        </w:rPr>
        <w:t xml:space="preserve"> </w:t>
      </w:r>
      <w:r>
        <w:rPr>
          <w:rStyle w:val="59"/>
          <w:rFonts w:hint="eastAsia" w:eastAsia="宋体"/>
          <w:b w:val="0"/>
          <w:color w:val="auto"/>
          <w:sz w:val="32"/>
          <w:szCs w:val="32"/>
        </w:rPr>
        <w:t>图纸</w:t>
      </w:r>
      <w:r>
        <w:rPr>
          <w:b w:val="0"/>
          <w:color w:val="auto"/>
          <w:sz w:val="32"/>
          <w:szCs w:val="32"/>
        </w:rPr>
        <w:tab/>
      </w:r>
      <w:r>
        <w:rPr>
          <w:b w:val="0"/>
          <w:color w:val="auto"/>
          <w:sz w:val="32"/>
          <w:szCs w:val="32"/>
        </w:rPr>
        <w:fldChar w:fldCharType="begin"/>
      </w:r>
      <w:r>
        <w:rPr>
          <w:b w:val="0"/>
          <w:color w:val="auto"/>
          <w:sz w:val="32"/>
          <w:szCs w:val="32"/>
        </w:rPr>
        <w:instrText xml:space="preserve"> PAGEREF _Toc513492492 \h </w:instrText>
      </w:r>
      <w:r>
        <w:rPr>
          <w:b w:val="0"/>
          <w:color w:val="auto"/>
          <w:sz w:val="32"/>
          <w:szCs w:val="32"/>
        </w:rPr>
        <w:fldChar w:fldCharType="separate"/>
      </w:r>
      <w:r>
        <w:rPr>
          <w:b w:val="0"/>
          <w:color w:val="auto"/>
          <w:sz w:val="32"/>
          <w:szCs w:val="32"/>
        </w:rPr>
        <w:t>51</w:t>
      </w:r>
      <w:r>
        <w:rPr>
          <w:b w:val="0"/>
          <w:color w:val="auto"/>
          <w:sz w:val="32"/>
          <w:szCs w:val="32"/>
        </w:rPr>
        <w:fldChar w:fldCharType="end"/>
      </w:r>
      <w:r>
        <w:rPr>
          <w:b w:val="0"/>
          <w:color w:val="auto"/>
          <w:sz w:val="32"/>
          <w:szCs w:val="32"/>
        </w:rPr>
        <w:fldChar w:fldCharType="end"/>
      </w:r>
    </w:p>
    <w:p>
      <w:pPr>
        <w:pStyle w:val="37"/>
        <w:pageBreakBefore w:val="0"/>
        <w:widowControl w:val="0"/>
        <w:tabs>
          <w:tab w:val="right" w:leader="dot" w:pos="9214"/>
          <w:tab w:val="clear" w:pos="8608"/>
        </w:tabs>
        <w:kinsoku/>
        <w:wordWrap/>
        <w:overflowPunct/>
        <w:topLinePunct w:val="0"/>
        <w:autoSpaceDE/>
        <w:autoSpaceDN/>
        <w:bidi w:val="0"/>
        <w:adjustRightInd/>
        <w:snapToGrid/>
        <w:spacing w:line="700" w:lineRule="exact"/>
        <w:ind w:firstLine="640" w:firstLineChars="200"/>
        <w:jc w:val="left"/>
        <w:textAlignment w:val="auto"/>
        <w:rPr>
          <w:b w:val="0"/>
          <w:bCs w:val="0"/>
          <w:caps w:val="0"/>
          <w:color w:val="auto"/>
          <w:kern w:val="2"/>
          <w:sz w:val="32"/>
          <w:szCs w:val="32"/>
          <w:lang w:val="en-US" w:eastAsia="zh-CN"/>
        </w:rPr>
      </w:pPr>
      <w:r>
        <w:rPr>
          <w:b w:val="0"/>
          <w:color w:val="auto"/>
          <w:sz w:val="32"/>
          <w:szCs w:val="32"/>
        </w:rPr>
        <w:fldChar w:fldCharType="begin"/>
      </w:r>
      <w:r>
        <w:rPr>
          <w:rStyle w:val="59"/>
          <w:rFonts w:eastAsia="宋体"/>
          <w:b w:val="0"/>
          <w:color w:val="auto"/>
          <w:sz w:val="32"/>
          <w:szCs w:val="32"/>
        </w:rPr>
        <w:instrText xml:space="preserve"> </w:instrText>
      </w:r>
      <w:r>
        <w:rPr>
          <w:b w:val="0"/>
          <w:color w:val="auto"/>
          <w:sz w:val="32"/>
          <w:szCs w:val="32"/>
        </w:rPr>
        <w:instrText xml:space="preserve">HYPERLINK \l "_Toc513492493"</w:instrText>
      </w:r>
      <w:r>
        <w:rPr>
          <w:rStyle w:val="59"/>
          <w:rFonts w:eastAsia="宋体"/>
          <w:b w:val="0"/>
          <w:color w:val="auto"/>
          <w:sz w:val="32"/>
          <w:szCs w:val="32"/>
        </w:rPr>
        <w:instrText xml:space="preserve"> </w:instrText>
      </w:r>
      <w:r>
        <w:rPr>
          <w:b w:val="0"/>
          <w:color w:val="auto"/>
          <w:sz w:val="32"/>
          <w:szCs w:val="32"/>
        </w:rPr>
        <w:fldChar w:fldCharType="separate"/>
      </w:r>
      <w:r>
        <w:rPr>
          <w:rStyle w:val="59"/>
          <w:rFonts w:hint="eastAsia" w:eastAsia="宋体"/>
          <w:b w:val="0"/>
          <w:color w:val="auto"/>
          <w:sz w:val="32"/>
          <w:szCs w:val="32"/>
        </w:rPr>
        <w:t>第七章</w:t>
      </w:r>
      <w:r>
        <w:rPr>
          <w:rStyle w:val="59"/>
          <w:rFonts w:eastAsia="宋体"/>
          <w:b w:val="0"/>
          <w:color w:val="auto"/>
          <w:sz w:val="32"/>
          <w:szCs w:val="32"/>
        </w:rPr>
        <w:t xml:space="preserve"> </w:t>
      </w:r>
      <w:r>
        <w:rPr>
          <w:rStyle w:val="59"/>
          <w:rFonts w:hint="eastAsia" w:eastAsia="宋体"/>
          <w:b w:val="0"/>
          <w:color w:val="auto"/>
          <w:sz w:val="32"/>
          <w:szCs w:val="32"/>
          <w:lang w:eastAsia="zh-CN"/>
        </w:rPr>
        <w:t xml:space="preserve"> </w:t>
      </w:r>
      <w:r>
        <w:rPr>
          <w:rStyle w:val="59"/>
          <w:rFonts w:hint="eastAsia" w:eastAsia="宋体"/>
          <w:b w:val="0"/>
          <w:color w:val="auto"/>
          <w:sz w:val="32"/>
          <w:szCs w:val="32"/>
        </w:rPr>
        <w:t>技术标准和要求</w:t>
      </w:r>
      <w:r>
        <w:rPr>
          <w:b w:val="0"/>
          <w:color w:val="auto"/>
          <w:sz w:val="32"/>
          <w:szCs w:val="32"/>
        </w:rPr>
        <w:tab/>
      </w:r>
      <w:r>
        <w:rPr>
          <w:b w:val="0"/>
          <w:color w:val="auto"/>
          <w:sz w:val="32"/>
          <w:szCs w:val="32"/>
        </w:rPr>
        <w:fldChar w:fldCharType="begin"/>
      </w:r>
      <w:r>
        <w:rPr>
          <w:b w:val="0"/>
          <w:color w:val="auto"/>
          <w:sz w:val="32"/>
          <w:szCs w:val="32"/>
        </w:rPr>
        <w:instrText xml:space="preserve"> PAGEREF _Toc513492493 \h </w:instrText>
      </w:r>
      <w:r>
        <w:rPr>
          <w:b w:val="0"/>
          <w:color w:val="auto"/>
          <w:sz w:val="32"/>
          <w:szCs w:val="32"/>
        </w:rPr>
        <w:fldChar w:fldCharType="separate"/>
      </w:r>
      <w:r>
        <w:rPr>
          <w:b w:val="0"/>
          <w:color w:val="auto"/>
          <w:sz w:val="32"/>
          <w:szCs w:val="32"/>
        </w:rPr>
        <w:t>52</w:t>
      </w:r>
      <w:r>
        <w:rPr>
          <w:b w:val="0"/>
          <w:color w:val="auto"/>
          <w:sz w:val="32"/>
          <w:szCs w:val="32"/>
        </w:rPr>
        <w:fldChar w:fldCharType="end"/>
      </w:r>
      <w:r>
        <w:rPr>
          <w:b w:val="0"/>
          <w:color w:val="auto"/>
          <w:sz w:val="32"/>
          <w:szCs w:val="32"/>
        </w:rPr>
        <w:fldChar w:fldCharType="end"/>
      </w:r>
    </w:p>
    <w:p>
      <w:pPr>
        <w:pStyle w:val="37"/>
        <w:pageBreakBefore w:val="0"/>
        <w:widowControl w:val="0"/>
        <w:tabs>
          <w:tab w:val="right" w:leader="dot" w:pos="9214"/>
          <w:tab w:val="clear" w:pos="8608"/>
        </w:tabs>
        <w:kinsoku/>
        <w:wordWrap/>
        <w:overflowPunct/>
        <w:topLinePunct w:val="0"/>
        <w:autoSpaceDE/>
        <w:autoSpaceDN/>
        <w:bidi w:val="0"/>
        <w:adjustRightInd/>
        <w:snapToGrid/>
        <w:spacing w:line="700" w:lineRule="exact"/>
        <w:ind w:firstLine="640" w:firstLineChars="200"/>
        <w:jc w:val="left"/>
        <w:textAlignment w:val="auto"/>
        <w:rPr>
          <w:b w:val="0"/>
          <w:bCs w:val="0"/>
          <w:caps w:val="0"/>
          <w:color w:val="auto"/>
          <w:kern w:val="2"/>
          <w:sz w:val="32"/>
          <w:szCs w:val="32"/>
          <w:lang w:val="en-US" w:eastAsia="zh-CN"/>
        </w:rPr>
      </w:pPr>
      <w:r>
        <w:rPr>
          <w:b w:val="0"/>
          <w:color w:val="auto"/>
          <w:sz w:val="32"/>
          <w:szCs w:val="32"/>
        </w:rPr>
        <w:fldChar w:fldCharType="begin"/>
      </w:r>
      <w:r>
        <w:rPr>
          <w:rStyle w:val="59"/>
          <w:rFonts w:eastAsia="宋体"/>
          <w:b w:val="0"/>
          <w:color w:val="auto"/>
          <w:sz w:val="32"/>
          <w:szCs w:val="32"/>
        </w:rPr>
        <w:instrText xml:space="preserve"> </w:instrText>
      </w:r>
      <w:r>
        <w:rPr>
          <w:b w:val="0"/>
          <w:color w:val="auto"/>
          <w:sz w:val="32"/>
          <w:szCs w:val="32"/>
        </w:rPr>
        <w:instrText xml:space="preserve">HYPERLINK \l "_Toc513492494"</w:instrText>
      </w:r>
      <w:r>
        <w:rPr>
          <w:rStyle w:val="59"/>
          <w:rFonts w:eastAsia="宋体"/>
          <w:b w:val="0"/>
          <w:color w:val="auto"/>
          <w:sz w:val="32"/>
          <w:szCs w:val="32"/>
        </w:rPr>
        <w:instrText xml:space="preserve"> </w:instrText>
      </w:r>
      <w:r>
        <w:rPr>
          <w:b w:val="0"/>
          <w:color w:val="auto"/>
          <w:sz w:val="32"/>
          <w:szCs w:val="32"/>
        </w:rPr>
        <w:fldChar w:fldCharType="separate"/>
      </w:r>
      <w:r>
        <w:rPr>
          <w:rStyle w:val="59"/>
          <w:rFonts w:hint="eastAsia" w:eastAsia="宋体"/>
          <w:b w:val="0"/>
          <w:color w:val="auto"/>
          <w:sz w:val="32"/>
          <w:szCs w:val="32"/>
        </w:rPr>
        <w:t>第八章</w:t>
      </w:r>
      <w:r>
        <w:rPr>
          <w:rStyle w:val="59"/>
          <w:rFonts w:eastAsia="宋体"/>
          <w:b w:val="0"/>
          <w:color w:val="auto"/>
          <w:sz w:val="32"/>
          <w:szCs w:val="32"/>
        </w:rPr>
        <w:t xml:space="preserve"> </w:t>
      </w:r>
      <w:r>
        <w:rPr>
          <w:rStyle w:val="59"/>
          <w:rFonts w:hint="eastAsia" w:eastAsia="宋体"/>
          <w:b w:val="0"/>
          <w:color w:val="auto"/>
          <w:sz w:val="32"/>
          <w:szCs w:val="32"/>
          <w:lang w:eastAsia="zh-CN"/>
        </w:rPr>
        <w:t xml:space="preserve"> </w:t>
      </w:r>
      <w:r>
        <w:rPr>
          <w:rStyle w:val="59"/>
          <w:rFonts w:hint="eastAsia" w:eastAsia="宋体"/>
          <w:b w:val="0"/>
          <w:color w:val="auto"/>
          <w:sz w:val="32"/>
          <w:szCs w:val="32"/>
        </w:rPr>
        <w:t>投标文件格式</w:t>
      </w:r>
      <w:r>
        <w:rPr>
          <w:b w:val="0"/>
          <w:color w:val="auto"/>
          <w:sz w:val="32"/>
          <w:szCs w:val="32"/>
        </w:rPr>
        <w:tab/>
      </w:r>
      <w:r>
        <w:rPr>
          <w:b w:val="0"/>
          <w:color w:val="auto"/>
          <w:sz w:val="32"/>
          <w:szCs w:val="32"/>
        </w:rPr>
        <w:fldChar w:fldCharType="begin"/>
      </w:r>
      <w:r>
        <w:rPr>
          <w:b w:val="0"/>
          <w:color w:val="auto"/>
          <w:sz w:val="32"/>
          <w:szCs w:val="32"/>
        </w:rPr>
        <w:instrText xml:space="preserve"> PAGEREF _Toc513492494 \h </w:instrText>
      </w:r>
      <w:r>
        <w:rPr>
          <w:b w:val="0"/>
          <w:color w:val="auto"/>
          <w:sz w:val="32"/>
          <w:szCs w:val="32"/>
        </w:rPr>
        <w:fldChar w:fldCharType="separate"/>
      </w:r>
      <w:r>
        <w:rPr>
          <w:b w:val="0"/>
          <w:color w:val="auto"/>
          <w:sz w:val="32"/>
          <w:szCs w:val="32"/>
        </w:rPr>
        <w:t>53</w:t>
      </w:r>
      <w:r>
        <w:rPr>
          <w:b w:val="0"/>
          <w:color w:val="auto"/>
          <w:sz w:val="32"/>
          <w:szCs w:val="32"/>
        </w:rPr>
        <w:fldChar w:fldCharType="end"/>
      </w:r>
      <w:r>
        <w:rPr>
          <w:b w:val="0"/>
          <w:color w:val="auto"/>
          <w:sz w:val="32"/>
          <w:szCs w:val="32"/>
        </w:rPr>
        <w:fldChar w:fldCharType="end"/>
      </w:r>
    </w:p>
    <w:p>
      <w:pPr>
        <w:pStyle w:val="5"/>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cs="MingLiU"/>
          <w:b w:val="0"/>
          <w:color w:val="auto"/>
          <w:kern w:val="0"/>
          <w:sz w:val="32"/>
          <w:szCs w:val="32"/>
        </w:rPr>
      </w:pPr>
      <w:r>
        <w:rPr>
          <w:rFonts w:ascii="宋体" w:hAnsi="宋体" w:cs="MingLiU"/>
          <w:b w:val="0"/>
          <w:color w:val="auto"/>
          <w:kern w:val="0"/>
          <w:sz w:val="32"/>
          <w:szCs w:val="32"/>
        </w:rPr>
        <w:fldChar w:fldCharType="end"/>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pStyle w:val="5"/>
        <w:pageBreakBefore w:val="0"/>
        <w:widowControl w:val="0"/>
        <w:kinsoku/>
        <w:wordWrap/>
        <w:overflowPunct/>
        <w:topLinePunct w:val="0"/>
        <w:bidi w:val="0"/>
        <w:spacing w:before="0" w:beforeLines="0" w:after="0" w:afterLines="0" w:line="460" w:lineRule="exact"/>
        <w:jc w:val="center"/>
        <w:textAlignment w:val="auto"/>
        <w:rPr>
          <w:rFonts w:hint="eastAsia" w:ascii="宋体" w:hAnsi="宋体" w:eastAsia="宋体" w:cs="宋体"/>
          <w:color w:val="auto"/>
          <w:kern w:val="0"/>
          <w:sz w:val="36"/>
          <w:szCs w:val="36"/>
        </w:rPr>
      </w:pPr>
      <w:bookmarkStart w:id="9" w:name="_Toc452058672"/>
      <w:bookmarkStart w:id="10" w:name="_Toc513492487"/>
      <w:r>
        <w:rPr>
          <w:rFonts w:hint="eastAsia" w:ascii="宋体" w:hAnsi="宋体" w:eastAsia="宋体" w:cs="宋体"/>
          <w:color w:val="auto"/>
          <w:kern w:val="0"/>
          <w:sz w:val="36"/>
          <w:szCs w:val="36"/>
        </w:rPr>
        <w:t>第一章  竞争性比选公告</w:t>
      </w:r>
      <w:bookmarkEnd w:id="0"/>
      <w:bookmarkEnd w:id="1"/>
      <w:bookmarkEnd w:id="2"/>
      <w:bookmarkEnd w:id="3"/>
      <w:bookmarkEnd w:id="4"/>
      <w:bookmarkEnd w:id="5"/>
      <w:bookmarkEnd w:id="9"/>
      <w:bookmarkEnd w:id="10"/>
    </w:p>
    <w:p>
      <w:pPr>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宋体" w:hAnsi="宋体" w:eastAsia="宋体" w:cs="宋体"/>
          <w:b/>
          <w:snapToGrid w:val="0"/>
          <w:color w:val="auto"/>
          <w:w w:val="99"/>
          <w:kern w:val="0"/>
          <w:sz w:val="32"/>
          <w:szCs w:val="32"/>
        </w:rPr>
      </w:pPr>
      <w:r>
        <w:rPr>
          <w:rFonts w:hint="eastAsia" w:ascii="宋体" w:hAnsi="宋体" w:cs="宋体"/>
          <w:b/>
          <w:bCs/>
          <w:color w:val="auto"/>
          <w:kern w:val="0"/>
          <w:sz w:val="36"/>
          <w:szCs w:val="36"/>
          <w:lang w:val="en-US" w:eastAsia="zh-CN" w:bidi="ar-SA"/>
        </w:rPr>
        <w:t>安居古城书香文化街（配套部分）项目</w:t>
      </w:r>
      <w:r>
        <w:rPr>
          <w:rFonts w:hint="eastAsia" w:ascii="宋体" w:hAnsi="宋体" w:eastAsia="宋体" w:cs="宋体"/>
          <w:b/>
          <w:snapToGrid w:val="0"/>
          <w:color w:val="auto"/>
          <w:w w:val="99"/>
          <w:kern w:val="0"/>
          <w:sz w:val="32"/>
          <w:szCs w:val="32"/>
        </w:rPr>
        <w:t xml:space="preserve"> </w:t>
      </w:r>
    </w:p>
    <w:p>
      <w:pPr>
        <w:pStyle w:val="6"/>
        <w:pageBreakBefore w:val="0"/>
        <w:widowControl w:val="0"/>
        <w:kinsoku/>
        <w:wordWrap/>
        <w:overflowPunct/>
        <w:topLinePunct w:val="0"/>
        <w:bidi w:val="0"/>
        <w:spacing w:before="0" w:beforeLines="0" w:after="0" w:afterLines="0" w:line="460" w:lineRule="exact"/>
        <w:textAlignment w:val="auto"/>
        <w:rPr>
          <w:rFonts w:ascii="宋体" w:hAnsi="宋体"/>
          <w:bCs w:val="0"/>
          <w:snapToGrid w:val="0"/>
          <w:color w:val="auto"/>
          <w:sz w:val="21"/>
          <w:szCs w:val="21"/>
        </w:rPr>
      </w:pPr>
      <w:bookmarkStart w:id="11" w:name="_Toc452058673"/>
      <w:bookmarkStart w:id="12" w:name="_Toc428455483"/>
      <w:r>
        <w:rPr>
          <w:rFonts w:hint="eastAsia" w:ascii="宋体" w:hAnsi="宋体"/>
          <w:snapToGrid w:val="0"/>
          <w:color w:val="auto"/>
          <w:sz w:val="21"/>
          <w:szCs w:val="21"/>
        </w:rPr>
        <w:t>1. 竞争性比选条件</w:t>
      </w:r>
      <w:bookmarkEnd w:id="11"/>
      <w:bookmarkEnd w:id="12"/>
    </w:p>
    <w:p>
      <w:pPr>
        <w:pageBreakBefore w:val="0"/>
        <w:widowControl w:val="0"/>
        <w:kinsoku/>
        <w:wordWrap/>
        <w:overflowPunct/>
        <w:topLinePunct w:val="0"/>
        <w:bidi w:val="0"/>
        <w:spacing w:line="460" w:lineRule="exact"/>
        <w:ind w:firstLine="420" w:firstLineChars="200"/>
        <w:textAlignment w:val="auto"/>
        <w:rPr>
          <w:rFonts w:hint="eastAsia" w:ascii="宋体" w:hAnsi="宋体" w:cs="MingLiU"/>
          <w:snapToGrid w:val="0"/>
          <w:color w:val="auto"/>
          <w:kern w:val="0"/>
          <w:sz w:val="21"/>
          <w:szCs w:val="21"/>
        </w:rPr>
      </w:pPr>
      <w:r>
        <w:rPr>
          <w:rFonts w:hint="eastAsia" w:ascii="宋体" w:hAnsi="宋体" w:cs="MingLiU"/>
          <w:snapToGrid w:val="0"/>
          <w:color w:val="auto"/>
          <w:kern w:val="0"/>
          <w:sz w:val="21"/>
          <w:szCs w:val="21"/>
        </w:rPr>
        <w:t>本招标项目</w:t>
      </w:r>
      <w:r>
        <w:rPr>
          <w:rFonts w:hint="eastAsia" w:ascii="宋体" w:hAnsi="宋体" w:cs="MingLiU"/>
          <w:snapToGrid w:val="0"/>
          <w:color w:val="auto"/>
          <w:kern w:val="0"/>
          <w:sz w:val="21"/>
          <w:szCs w:val="21"/>
          <w:u w:val="single"/>
          <w:lang w:eastAsia="zh-CN"/>
        </w:rPr>
        <w:t>安居古城书香文化街（配套部分）项目已由</w:t>
      </w:r>
      <w:r>
        <w:rPr>
          <w:rFonts w:hint="eastAsia" w:ascii="宋体" w:hAnsi="宋体" w:cs="宋体"/>
          <w:u w:val="single"/>
        </w:rPr>
        <w:t>重庆市铜梁区发展和改革委员会</w:t>
      </w:r>
      <w:r>
        <w:rPr>
          <w:rFonts w:hint="eastAsia" w:ascii="宋体" w:hAnsi="宋体" w:cs="宋体"/>
        </w:rPr>
        <w:t>以</w:t>
      </w:r>
      <w:r>
        <w:rPr>
          <w:rFonts w:hint="eastAsia" w:ascii="宋体" w:hAnsi="宋体" w:cs="宋体"/>
          <w:u w:val="single"/>
        </w:rPr>
        <w:t xml:space="preserve"> 重庆市企业投资项目备案证</w:t>
      </w:r>
      <w:r>
        <w:rPr>
          <w:rFonts w:hint="eastAsia" w:ascii="宋体" w:hAnsi="宋体" w:cs="宋体"/>
          <w:u w:val="single"/>
          <w:lang w:val="en-US" w:eastAsia="zh-CN"/>
        </w:rPr>
        <w:t>2207-500151-04-05-972158</w:t>
      </w:r>
      <w:r>
        <w:rPr>
          <w:rFonts w:hint="eastAsia" w:ascii="宋体" w:hAnsi="宋体" w:cs="宋体"/>
        </w:rPr>
        <w:t>批准建设</w:t>
      </w:r>
      <w:r>
        <w:rPr>
          <w:rFonts w:hint="eastAsia" w:ascii="宋体" w:hAnsi="宋体" w:cs="MingLiU"/>
          <w:snapToGrid w:val="0"/>
          <w:color w:val="auto"/>
          <w:kern w:val="0"/>
          <w:sz w:val="21"/>
          <w:szCs w:val="21"/>
        </w:rPr>
        <w:t>，项目业主为</w:t>
      </w:r>
      <w:r>
        <w:rPr>
          <w:rFonts w:hint="eastAsia" w:ascii="宋体" w:hAnsi="宋体" w:cs="MingLiU"/>
          <w:snapToGrid w:val="0"/>
          <w:color w:val="auto"/>
          <w:kern w:val="0"/>
          <w:sz w:val="21"/>
          <w:szCs w:val="21"/>
          <w:u w:val="single"/>
          <w:lang w:eastAsia="zh-CN"/>
        </w:rPr>
        <w:t>重庆安居古城华夏文化旅游发展有限公司</w:t>
      </w:r>
      <w:r>
        <w:rPr>
          <w:rFonts w:hint="eastAsia" w:ascii="宋体" w:hAnsi="宋体" w:cs="MingLiU"/>
          <w:snapToGrid w:val="0"/>
          <w:color w:val="auto"/>
          <w:kern w:val="0"/>
          <w:sz w:val="21"/>
          <w:szCs w:val="21"/>
          <w:u w:val="none"/>
          <w:lang w:eastAsia="zh-CN"/>
        </w:rPr>
        <w:t>，</w:t>
      </w:r>
      <w:r>
        <w:rPr>
          <w:rFonts w:hint="eastAsia" w:ascii="宋体" w:hAnsi="宋体" w:cs="MingLiU"/>
          <w:snapToGrid w:val="0"/>
          <w:color w:val="auto"/>
          <w:kern w:val="0"/>
          <w:sz w:val="21"/>
          <w:szCs w:val="21"/>
        </w:rPr>
        <w:t xml:space="preserve"> 资金来源为</w:t>
      </w:r>
      <w:r>
        <w:rPr>
          <w:rFonts w:hint="eastAsia" w:ascii="宋体" w:hAnsi="宋体" w:eastAsia="宋体" w:cs="宋体"/>
          <w:color w:val="auto"/>
          <w:kern w:val="0"/>
          <w:sz w:val="21"/>
          <w:szCs w:val="21"/>
          <w:lang w:eastAsia="zh-CN"/>
        </w:rPr>
        <w:t>业主自筹资金</w:t>
      </w:r>
      <w:bookmarkStart w:id="640" w:name="_GoBack"/>
      <w:bookmarkEnd w:id="640"/>
      <w:r>
        <w:rPr>
          <w:rFonts w:hint="eastAsia" w:ascii="宋体" w:hAnsi="宋体" w:cs="MingLiU"/>
          <w:snapToGrid w:val="0"/>
          <w:color w:val="auto"/>
          <w:kern w:val="0"/>
          <w:sz w:val="21"/>
          <w:szCs w:val="21"/>
        </w:rPr>
        <w:t>，</w:t>
      </w:r>
      <w:r>
        <w:rPr>
          <w:rFonts w:hint="eastAsia" w:ascii="宋体" w:hAnsi="宋体" w:cs="MingLiU"/>
          <w:snapToGrid w:val="0"/>
          <w:color w:val="auto"/>
          <w:kern w:val="0"/>
          <w:sz w:val="21"/>
          <w:szCs w:val="21"/>
          <w:lang w:eastAsia="zh-CN"/>
        </w:rPr>
        <w:t>比选</w:t>
      </w:r>
      <w:r>
        <w:rPr>
          <w:rFonts w:hint="eastAsia" w:ascii="宋体" w:hAnsi="宋体" w:cs="MingLiU"/>
          <w:snapToGrid w:val="0"/>
          <w:color w:val="auto"/>
          <w:kern w:val="0"/>
          <w:sz w:val="21"/>
          <w:szCs w:val="21"/>
        </w:rPr>
        <w:t>人为</w:t>
      </w:r>
      <w:r>
        <w:rPr>
          <w:rFonts w:hint="eastAsia" w:ascii="宋体" w:hAnsi="宋体" w:cs="MingLiU"/>
          <w:snapToGrid w:val="0"/>
          <w:color w:val="auto"/>
          <w:kern w:val="0"/>
          <w:sz w:val="21"/>
          <w:szCs w:val="21"/>
          <w:u w:val="single"/>
          <w:lang w:eastAsia="zh-CN"/>
        </w:rPr>
        <w:t>重庆安居古城华夏文化旅游发展有限公司</w:t>
      </w:r>
      <w:r>
        <w:rPr>
          <w:rFonts w:hint="eastAsia" w:ascii="宋体" w:hAnsi="宋体" w:cs="MingLiU"/>
          <w:snapToGrid w:val="0"/>
          <w:color w:val="auto"/>
          <w:kern w:val="0"/>
          <w:sz w:val="21"/>
          <w:szCs w:val="21"/>
        </w:rPr>
        <w:t>。项目已具备招标条件，现对该项目施工进行竞争性比选。</w:t>
      </w:r>
    </w:p>
    <w:p>
      <w:pPr>
        <w:pStyle w:val="6"/>
        <w:pageBreakBefore w:val="0"/>
        <w:widowControl w:val="0"/>
        <w:kinsoku/>
        <w:wordWrap/>
        <w:overflowPunct/>
        <w:topLinePunct w:val="0"/>
        <w:bidi w:val="0"/>
        <w:spacing w:before="0" w:beforeLines="0" w:after="0" w:afterLines="0" w:line="460" w:lineRule="exact"/>
        <w:textAlignment w:val="auto"/>
        <w:rPr>
          <w:rFonts w:hint="eastAsia" w:ascii="宋体" w:hAnsi="宋体"/>
          <w:snapToGrid w:val="0"/>
          <w:color w:val="auto"/>
          <w:sz w:val="21"/>
          <w:szCs w:val="21"/>
        </w:rPr>
      </w:pPr>
      <w:bookmarkStart w:id="13" w:name="_Toc452058674"/>
      <w:r>
        <w:rPr>
          <w:rFonts w:hint="eastAsia" w:ascii="宋体" w:hAnsi="宋体"/>
          <w:snapToGrid w:val="0"/>
          <w:color w:val="auto"/>
          <w:sz w:val="21"/>
          <w:szCs w:val="21"/>
        </w:rPr>
        <w:t>2、项目概况与比选范围</w:t>
      </w:r>
      <w:bookmarkEnd w:id="13"/>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rPr>
          <w:rFonts w:hint="default" w:ascii="宋体" w:hAnsi="宋体" w:cs="宋体"/>
          <w:color w:val="auto"/>
          <w:kern w:val="0"/>
          <w:sz w:val="21"/>
          <w:szCs w:val="21"/>
          <w:lang w:val="en-US" w:eastAsia="zh-CN"/>
        </w:rPr>
      </w:pPr>
      <w:bookmarkStart w:id="14" w:name="_Toc452058675"/>
      <w:r>
        <w:rPr>
          <w:rFonts w:hint="eastAsia" w:ascii="宋体" w:hAnsi="宋体" w:cs="宋体"/>
          <w:color w:val="auto"/>
          <w:kern w:val="0"/>
          <w:sz w:val="21"/>
          <w:szCs w:val="21"/>
        </w:rPr>
        <w:t>2.1 项</w:t>
      </w:r>
      <w:r>
        <w:rPr>
          <w:rFonts w:hint="eastAsia" w:ascii="宋体" w:hAnsi="宋体" w:cs="宋体"/>
          <w:color w:val="auto"/>
          <w:kern w:val="0"/>
          <w:sz w:val="21"/>
          <w:szCs w:val="21"/>
          <w:lang w:val="en-US" w:eastAsia="zh-CN"/>
        </w:rPr>
        <w:t>目概况：主要工作内容详见施工图及工程量清单，建安投资约100万元。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2.2 建设地址：安居古城书香文化街。</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2.3 比选范围：安居古城书香文化街（配套部分）项目施工图及工程量清单所示范围。</w:t>
      </w:r>
    </w:p>
    <w:p>
      <w:pPr>
        <w:pageBreakBefore w:val="0"/>
        <w:widowControl w:val="0"/>
        <w:kinsoku/>
        <w:wordWrap/>
        <w:overflowPunct/>
        <w:topLinePunct w:val="0"/>
        <w:bidi w:val="0"/>
        <w:spacing w:line="460" w:lineRule="exact"/>
        <w:ind w:firstLine="420" w:firstLineChars="200"/>
        <w:textAlignment w:val="auto"/>
        <w:rPr>
          <w:rFonts w:ascii="宋体" w:hAnsi="宋体" w:cs="宋体"/>
          <w:color w:val="auto"/>
          <w:kern w:val="0"/>
          <w:sz w:val="21"/>
          <w:szCs w:val="21"/>
        </w:rPr>
      </w:pPr>
      <w:r>
        <w:rPr>
          <w:rFonts w:hint="eastAsia" w:ascii="宋体" w:hAnsi="宋体" w:cs="宋体"/>
          <w:color w:val="auto"/>
          <w:kern w:val="0"/>
          <w:sz w:val="21"/>
          <w:szCs w:val="21"/>
        </w:rPr>
        <w:t>2.4 工期：</w:t>
      </w:r>
      <w:r>
        <w:rPr>
          <w:rFonts w:hint="eastAsia" w:ascii="宋体" w:hAnsi="宋体" w:cs="宋体"/>
          <w:color w:val="auto"/>
          <w:kern w:val="0"/>
          <w:sz w:val="21"/>
          <w:szCs w:val="21"/>
          <w:lang w:val="en-US" w:eastAsia="zh-CN"/>
        </w:rPr>
        <w:t>60日历天</w:t>
      </w:r>
      <w:r>
        <w:rPr>
          <w:rFonts w:hint="eastAsia" w:ascii="宋体" w:hAnsi="宋体" w:cs="宋体"/>
          <w:color w:val="auto"/>
          <w:kern w:val="0"/>
          <w:sz w:val="21"/>
          <w:szCs w:val="21"/>
          <w:u w:val="none"/>
          <w:shd w:val="clear" w:color="auto" w:fill="auto"/>
        </w:rPr>
        <w:t>。</w:t>
      </w:r>
    </w:p>
    <w:p>
      <w:pPr>
        <w:pageBreakBefore w:val="0"/>
        <w:widowControl w:val="0"/>
        <w:kinsoku/>
        <w:wordWrap/>
        <w:overflowPunct/>
        <w:topLinePunct w:val="0"/>
        <w:bidi w:val="0"/>
        <w:spacing w:line="460" w:lineRule="exact"/>
        <w:ind w:firstLine="420" w:firstLineChars="200"/>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2.5 标段划分：本次招标设1个标段。</w:t>
      </w:r>
    </w:p>
    <w:p>
      <w:pPr>
        <w:pStyle w:val="6"/>
        <w:pageBreakBefore w:val="0"/>
        <w:widowControl w:val="0"/>
        <w:kinsoku/>
        <w:wordWrap/>
        <w:overflowPunct/>
        <w:topLinePunct w:val="0"/>
        <w:bidi w:val="0"/>
        <w:spacing w:before="0" w:beforeLines="0" w:after="0" w:afterLines="0" w:line="460" w:lineRule="exact"/>
        <w:textAlignment w:val="auto"/>
        <w:rPr>
          <w:rFonts w:hint="eastAsia" w:ascii="宋体" w:hAnsi="宋体"/>
          <w:snapToGrid w:val="0"/>
          <w:color w:val="auto"/>
          <w:sz w:val="21"/>
          <w:szCs w:val="21"/>
        </w:rPr>
      </w:pPr>
      <w:r>
        <w:rPr>
          <w:rFonts w:hint="eastAsia" w:ascii="宋体" w:hAnsi="宋体"/>
          <w:snapToGrid w:val="0"/>
          <w:color w:val="auto"/>
          <w:sz w:val="21"/>
          <w:szCs w:val="21"/>
        </w:rPr>
        <w:t>3、投标人资格要求</w:t>
      </w:r>
      <w:bookmarkEnd w:id="14"/>
    </w:p>
    <w:p>
      <w:pPr>
        <w:pageBreakBefore w:val="0"/>
        <w:widowControl w:val="0"/>
        <w:kinsoku/>
        <w:wordWrap/>
        <w:overflowPunct/>
        <w:topLinePunct w:val="0"/>
        <w:bidi w:val="0"/>
        <w:spacing w:line="460" w:lineRule="exact"/>
        <w:ind w:firstLine="420" w:firstLineChars="200"/>
        <w:textAlignment w:val="auto"/>
        <w:rPr>
          <w:rFonts w:hint="eastAsia" w:ascii="宋体" w:hAnsi="宋体" w:cs="MingLiU"/>
          <w:snapToGrid w:val="0"/>
          <w:color w:val="auto"/>
          <w:kern w:val="0"/>
          <w:sz w:val="21"/>
          <w:szCs w:val="21"/>
        </w:rPr>
      </w:pPr>
      <w:r>
        <w:rPr>
          <w:rFonts w:ascii="宋体" w:hAnsi="宋体" w:cs="MingLiU"/>
          <w:snapToGrid w:val="0"/>
          <w:color w:val="auto"/>
          <w:kern w:val="0"/>
          <w:sz w:val="21"/>
          <w:szCs w:val="21"/>
        </w:rPr>
        <w:t xml:space="preserve">3.1 </w:t>
      </w:r>
      <w:r>
        <w:rPr>
          <w:rFonts w:hint="eastAsia" w:ascii="宋体" w:hAnsi="宋体"/>
          <w:snapToGrid w:val="0"/>
          <w:kern w:val="0"/>
          <w:szCs w:val="21"/>
        </w:rPr>
        <w:t>本次招标要求投标人</w:t>
      </w:r>
      <w:r>
        <w:rPr>
          <w:rFonts w:hint="eastAsia" w:ascii="宋体" w:hAnsi="宋体"/>
          <w:snapToGrid w:val="0"/>
          <w:kern w:val="0"/>
          <w:szCs w:val="21"/>
          <w:lang w:eastAsia="zh-CN"/>
        </w:rPr>
        <w:t>需</w:t>
      </w:r>
      <w:r>
        <w:rPr>
          <w:rFonts w:hint="eastAsia" w:ascii="宋体" w:hAnsi="宋体"/>
          <w:snapToGrid w:val="0"/>
          <w:kern w:val="0"/>
          <w:szCs w:val="21"/>
        </w:rPr>
        <w:t>具备</w:t>
      </w:r>
      <w:r>
        <w:rPr>
          <w:rFonts w:hint="eastAsia" w:ascii="宋体" w:hAnsi="宋体"/>
          <w:snapToGrid w:val="0"/>
          <w:kern w:val="0"/>
          <w:szCs w:val="21"/>
          <w:u w:val="none"/>
        </w:rPr>
        <w:t>建设行政主管部门颁发的有效的</w:t>
      </w:r>
      <w:r>
        <w:rPr>
          <w:rFonts w:hint="eastAsia" w:ascii="宋体" w:hAnsi="宋体"/>
          <w:b/>
          <w:bCs/>
          <w:snapToGrid w:val="0"/>
          <w:kern w:val="0"/>
          <w:szCs w:val="21"/>
          <w:u w:val="single"/>
          <w:lang w:val="en-US" w:eastAsia="zh-CN"/>
        </w:rPr>
        <w:t>建筑装修装饰工程专业承包二</w:t>
      </w:r>
      <w:r>
        <w:rPr>
          <w:rFonts w:hint="eastAsia" w:ascii="宋体" w:hAnsi="宋体"/>
          <w:b/>
          <w:bCs/>
          <w:snapToGrid w:val="0"/>
          <w:kern w:val="0"/>
          <w:szCs w:val="21"/>
          <w:u w:val="single"/>
          <w:lang w:eastAsia="zh-CN"/>
        </w:rPr>
        <w:t>级及以上</w:t>
      </w:r>
      <w:r>
        <w:rPr>
          <w:rFonts w:hint="eastAsia" w:ascii="宋体" w:hAnsi="宋体"/>
          <w:snapToGrid w:val="0"/>
          <w:kern w:val="0"/>
          <w:szCs w:val="21"/>
          <w:u w:val="none"/>
          <w:lang w:eastAsia="zh-CN"/>
        </w:rPr>
        <w:t>资质。</w:t>
      </w:r>
    </w:p>
    <w:p>
      <w:pPr>
        <w:pageBreakBefore w:val="0"/>
        <w:widowControl w:val="0"/>
        <w:tabs>
          <w:tab w:val="left" w:pos="3840"/>
        </w:tabs>
        <w:kinsoku/>
        <w:wordWrap/>
        <w:overflowPunct/>
        <w:topLinePunct w:val="0"/>
        <w:autoSpaceDE w:val="0"/>
        <w:autoSpaceDN w:val="0"/>
        <w:bidi w:val="0"/>
        <w:adjustRightInd w:val="0"/>
        <w:snapToGrid w:val="0"/>
        <w:spacing w:line="460" w:lineRule="exact"/>
        <w:ind w:firstLine="420"/>
        <w:jc w:val="left"/>
        <w:textAlignment w:val="auto"/>
        <w:rPr>
          <w:rFonts w:hint="eastAsia" w:ascii="宋体" w:hAnsi="宋体" w:cs="MingLiU"/>
          <w:snapToGrid w:val="0"/>
          <w:color w:val="auto"/>
          <w:kern w:val="0"/>
          <w:sz w:val="21"/>
          <w:szCs w:val="21"/>
        </w:rPr>
      </w:pPr>
      <w:r>
        <w:rPr>
          <w:rFonts w:hint="eastAsia" w:ascii="宋体" w:hAnsi="宋体" w:cs="MingLiU"/>
          <w:snapToGrid w:val="0"/>
          <w:color w:val="auto"/>
          <w:kern w:val="0"/>
          <w:sz w:val="21"/>
          <w:szCs w:val="21"/>
        </w:rPr>
        <w:t>3.2 资格审查方式：资格后审。</w:t>
      </w:r>
    </w:p>
    <w:p>
      <w:pPr>
        <w:pageBreakBefore w:val="0"/>
        <w:widowControl w:val="0"/>
        <w:kinsoku/>
        <w:wordWrap/>
        <w:overflowPunct/>
        <w:topLinePunct w:val="0"/>
        <w:autoSpaceDE w:val="0"/>
        <w:autoSpaceDN w:val="0"/>
        <w:bidi w:val="0"/>
        <w:adjustRightInd w:val="0"/>
        <w:snapToGrid w:val="0"/>
        <w:spacing w:line="460" w:lineRule="exact"/>
        <w:ind w:firstLine="420"/>
        <w:jc w:val="left"/>
        <w:textAlignment w:val="auto"/>
        <w:rPr>
          <w:rFonts w:hint="eastAsia" w:ascii="宋体" w:hAnsi="宋体" w:cs="MingLiU"/>
          <w:color w:val="auto"/>
          <w:kern w:val="0"/>
          <w:sz w:val="21"/>
          <w:szCs w:val="21"/>
        </w:rPr>
      </w:pPr>
      <w:bookmarkStart w:id="15" w:name="_Toc452058676"/>
      <w:r>
        <w:rPr>
          <w:rFonts w:hint="eastAsia" w:ascii="宋体" w:hAnsi="宋体"/>
          <w:color w:val="auto"/>
          <w:kern w:val="0"/>
          <w:sz w:val="21"/>
          <w:szCs w:val="21"/>
        </w:rPr>
        <w:t xml:space="preserve">3.3 </w:t>
      </w:r>
      <w:r>
        <w:rPr>
          <w:rFonts w:hint="eastAsia" w:ascii="宋体" w:hAnsi="宋体" w:cs="MingLiU"/>
          <w:color w:val="auto"/>
          <w:kern w:val="0"/>
          <w:sz w:val="21"/>
          <w:szCs w:val="21"/>
        </w:rPr>
        <w:t>本次比选不接受联合体投标。</w:t>
      </w:r>
    </w:p>
    <w:p>
      <w:pPr>
        <w:pStyle w:val="6"/>
        <w:pageBreakBefore w:val="0"/>
        <w:widowControl w:val="0"/>
        <w:kinsoku/>
        <w:wordWrap/>
        <w:overflowPunct/>
        <w:topLinePunct w:val="0"/>
        <w:bidi w:val="0"/>
        <w:spacing w:before="0" w:beforeLines="0" w:after="0" w:afterLines="0" w:line="460" w:lineRule="exact"/>
        <w:textAlignment w:val="auto"/>
        <w:rPr>
          <w:rFonts w:hint="eastAsia" w:ascii="宋体" w:hAnsi="宋体"/>
          <w:snapToGrid w:val="0"/>
          <w:color w:val="auto"/>
          <w:sz w:val="21"/>
          <w:szCs w:val="21"/>
        </w:rPr>
      </w:pPr>
      <w:r>
        <w:rPr>
          <w:rFonts w:hint="eastAsia" w:ascii="宋体" w:hAnsi="宋体"/>
          <w:snapToGrid w:val="0"/>
          <w:color w:val="auto"/>
          <w:sz w:val="21"/>
          <w:szCs w:val="21"/>
        </w:rPr>
        <w:t>4、比选文件的获取</w:t>
      </w:r>
      <w:bookmarkEnd w:id="15"/>
    </w:p>
    <w:p>
      <w:pPr>
        <w:pageBreakBefore w:val="0"/>
        <w:widowControl w:val="0"/>
        <w:kinsoku/>
        <w:wordWrap/>
        <w:overflowPunct/>
        <w:topLinePunct w:val="0"/>
        <w:bidi w:val="0"/>
        <w:spacing w:line="460" w:lineRule="exact"/>
        <w:ind w:firstLine="420" w:firstLineChars="200"/>
        <w:textAlignment w:val="auto"/>
        <w:rPr>
          <w:rFonts w:hint="eastAsia" w:ascii="宋体" w:hAnsi="宋体" w:eastAsia="宋体" w:cs="MingLiU"/>
          <w:b w:val="0"/>
          <w:bCs/>
          <w:snapToGrid w:val="0"/>
          <w:color w:val="auto"/>
          <w:kern w:val="0"/>
          <w:sz w:val="21"/>
          <w:szCs w:val="21"/>
          <w:u w:val="none"/>
        </w:rPr>
      </w:pPr>
      <w:bookmarkStart w:id="16" w:name="_Toc452058677"/>
      <w:r>
        <w:rPr>
          <w:rFonts w:hint="eastAsia" w:ascii="宋体" w:hAnsi="宋体" w:eastAsia="宋体" w:cs="MingLiU"/>
          <w:b w:val="0"/>
          <w:bCs/>
          <w:snapToGrid w:val="0"/>
          <w:color w:val="auto"/>
          <w:kern w:val="0"/>
          <w:sz w:val="21"/>
          <w:szCs w:val="21"/>
          <w:u w:val="none"/>
        </w:rPr>
        <w:t>4.1 凡有意参加</w:t>
      </w:r>
      <w:r>
        <w:rPr>
          <w:rFonts w:hint="eastAsia" w:ascii="宋体" w:hAnsi="宋体" w:eastAsia="宋体" w:cs="MingLiU"/>
          <w:b w:val="0"/>
          <w:bCs/>
          <w:snapToGrid w:val="0"/>
          <w:color w:val="auto"/>
          <w:kern w:val="0"/>
          <w:sz w:val="21"/>
          <w:szCs w:val="21"/>
          <w:u w:val="none"/>
          <w:lang w:eastAsia="zh-CN"/>
        </w:rPr>
        <w:t>投标者，请于20</w:t>
      </w:r>
      <w:r>
        <w:rPr>
          <w:rFonts w:hint="eastAsia" w:ascii="宋体" w:hAnsi="宋体" w:eastAsia="宋体" w:cs="MingLiU"/>
          <w:b w:val="0"/>
          <w:bCs/>
          <w:snapToGrid w:val="0"/>
          <w:color w:val="auto"/>
          <w:kern w:val="0"/>
          <w:sz w:val="21"/>
          <w:szCs w:val="21"/>
          <w:u w:val="none"/>
          <w:lang w:val="en-US" w:eastAsia="zh-CN"/>
        </w:rPr>
        <w:t>22</w:t>
      </w:r>
      <w:r>
        <w:rPr>
          <w:rFonts w:hint="eastAsia" w:ascii="宋体" w:hAnsi="宋体" w:eastAsia="宋体" w:cs="MingLiU"/>
          <w:b w:val="0"/>
          <w:bCs/>
          <w:snapToGrid w:val="0"/>
          <w:color w:val="auto"/>
          <w:kern w:val="0"/>
          <w:sz w:val="21"/>
          <w:szCs w:val="21"/>
          <w:u w:val="none"/>
          <w:lang w:eastAsia="zh-CN"/>
        </w:rPr>
        <w:t>年</w:t>
      </w:r>
      <w:r>
        <w:rPr>
          <w:rFonts w:hint="eastAsia" w:ascii="宋体" w:hAnsi="宋体" w:cs="MingLiU"/>
          <w:b w:val="0"/>
          <w:bCs/>
          <w:snapToGrid w:val="0"/>
          <w:color w:val="auto"/>
          <w:kern w:val="0"/>
          <w:sz w:val="21"/>
          <w:szCs w:val="21"/>
          <w:u w:val="none"/>
          <w:lang w:val="en-US" w:eastAsia="zh-CN"/>
        </w:rPr>
        <w:t>7月6日</w:t>
      </w:r>
      <w:r>
        <w:rPr>
          <w:rFonts w:hint="eastAsia" w:ascii="宋体" w:hAnsi="宋体" w:eastAsia="宋体" w:cs="MingLiU"/>
          <w:b w:val="0"/>
          <w:bCs/>
          <w:snapToGrid w:val="0"/>
          <w:color w:val="auto"/>
          <w:kern w:val="0"/>
          <w:sz w:val="21"/>
          <w:szCs w:val="21"/>
          <w:u w:val="none"/>
          <w:lang w:eastAsia="zh-CN"/>
        </w:rPr>
        <w:t>（北京时间，下同）起在</w:t>
      </w:r>
      <w:r>
        <w:rPr>
          <w:rFonts w:hint="eastAsia" w:ascii="宋体" w:hAnsi="宋体" w:cs="MingLiU"/>
          <w:b w:val="0"/>
          <w:bCs/>
          <w:snapToGrid w:val="0"/>
          <w:color w:val="auto"/>
          <w:kern w:val="0"/>
          <w:sz w:val="21"/>
          <w:szCs w:val="21"/>
          <w:u w:val="none"/>
          <w:lang w:val="en-US" w:eastAsia="zh-CN"/>
        </w:rPr>
        <w:t>重庆安居古城网站（http://www.anjugc.cn/index.htm）</w:t>
      </w:r>
      <w:r>
        <w:rPr>
          <w:rFonts w:hint="eastAsia" w:ascii="宋体" w:hAnsi="宋体" w:eastAsia="宋体" w:cs="MingLiU"/>
          <w:b w:val="0"/>
          <w:bCs/>
          <w:snapToGrid w:val="0"/>
          <w:color w:val="auto"/>
          <w:kern w:val="0"/>
          <w:sz w:val="21"/>
          <w:szCs w:val="21"/>
          <w:u w:val="none"/>
          <w:lang w:val="en-US" w:eastAsia="zh-CN"/>
        </w:rPr>
        <w:t>下载</w:t>
      </w:r>
      <w:r>
        <w:rPr>
          <w:rFonts w:hint="eastAsia" w:ascii="宋体" w:hAnsi="宋体" w:eastAsia="宋体" w:cs="MingLiU"/>
          <w:b w:val="0"/>
          <w:bCs/>
          <w:snapToGrid w:val="0"/>
          <w:color w:val="auto"/>
          <w:kern w:val="0"/>
          <w:sz w:val="21"/>
          <w:szCs w:val="21"/>
          <w:u w:val="none"/>
          <w:lang w:eastAsia="zh-CN"/>
        </w:rPr>
        <w:t>比选文件、施工图、工程量清单、最高限价、澄清、修改、补充通知等全部内容。</w:t>
      </w:r>
    </w:p>
    <w:p>
      <w:pPr>
        <w:pageBreakBefore w:val="0"/>
        <w:widowControl w:val="0"/>
        <w:kinsoku/>
        <w:wordWrap/>
        <w:overflowPunct/>
        <w:topLinePunct w:val="0"/>
        <w:bidi w:val="0"/>
        <w:spacing w:line="460" w:lineRule="exact"/>
        <w:ind w:firstLine="420" w:firstLineChars="200"/>
        <w:textAlignment w:val="auto"/>
        <w:rPr>
          <w:rFonts w:hint="eastAsia" w:ascii="宋体" w:hAnsi="宋体" w:eastAsia="宋体" w:cs="MingLiU"/>
          <w:b w:val="0"/>
          <w:bCs/>
          <w:snapToGrid w:val="0"/>
          <w:color w:val="auto"/>
          <w:kern w:val="0"/>
          <w:sz w:val="21"/>
          <w:szCs w:val="21"/>
          <w:u w:val="none"/>
        </w:rPr>
      </w:pPr>
      <w:r>
        <w:rPr>
          <w:rFonts w:hint="eastAsia" w:ascii="宋体" w:hAnsi="宋体" w:eastAsia="宋体" w:cs="MingLiU"/>
          <w:b w:val="0"/>
          <w:bCs/>
          <w:snapToGrid w:val="0"/>
          <w:color w:val="auto"/>
          <w:kern w:val="0"/>
          <w:sz w:val="21"/>
          <w:szCs w:val="21"/>
          <w:u w:val="none"/>
        </w:rPr>
        <w:t>4.2</w:t>
      </w:r>
      <w:r>
        <w:rPr>
          <w:rFonts w:hint="eastAsia" w:ascii="宋体" w:hAnsi="宋体" w:eastAsia="宋体" w:cs="MingLiU"/>
          <w:b w:val="0"/>
          <w:bCs/>
          <w:snapToGrid w:val="0"/>
          <w:color w:val="auto"/>
          <w:kern w:val="0"/>
          <w:sz w:val="21"/>
          <w:szCs w:val="21"/>
          <w:u w:val="none"/>
          <w:lang w:val="en-US" w:eastAsia="zh-CN"/>
        </w:rPr>
        <w:t xml:space="preserve"> </w:t>
      </w:r>
      <w:r>
        <w:rPr>
          <w:rFonts w:hint="eastAsia" w:ascii="宋体" w:hAnsi="宋体" w:eastAsia="宋体" w:cs="MingLiU"/>
          <w:b w:val="0"/>
          <w:bCs/>
          <w:snapToGrid w:val="0"/>
          <w:color w:val="auto"/>
          <w:kern w:val="0"/>
          <w:sz w:val="21"/>
          <w:szCs w:val="21"/>
          <w:u w:val="none"/>
        </w:rPr>
        <w:t>投标人</w:t>
      </w:r>
      <w:r>
        <w:rPr>
          <w:rFonts w:hint="eastAsia" w:ascii="宋体" w:hAnsi="宋体" w:eastAsia="宋体" w:cs="MingLiU"/>
          <w:b w:val="0"/>
          <w:bCs/>
          <w:snapToGrid w:val="0"/>
          <w:color w:val="auto"/>
          <w:kern w:val="0"/>
          <w:sz w:val="21"/>
          <w:szCs w:val="21"/>
          <w:u w:val="none"/>
          <w:lang w:eastAsia="zh-CN"/>
        </w:rPr>
        <w:t>可以</w:t>
      </w:r>
      <w:r>
        <w:rPr>
          <w:rFonts w:hint="eastAsia" w:ascii="宋体" w:hAnsi="宋体" w:eastAsia="宋体" w:cs="MingLiU"/>
          <w:b w:val="0"/>
          <w:bCs/>
          <w:snapToGrid w:val="0"/>
          <w:color w:val="auto"/>
          <w:kern w:val="0"/>
          <w:sz w:val="21"/>
          <w:szCs w:val="21"/>
          <w:u w:val="none"/>
        </w:rPr>
        <w:t>以匿名传真的形式提出疑问，将问题传真至比选代理机构</w:t>
      </w:r>
      <w:r>
        <w:rPr>
          <w:rFonts w:hint="eastAsia" w:ascii="宋体" w:hAnsi="宋体" w:eastAsia="宋体" w:cs="MingLiU"/>
          <w:b w:val="0"/>
          <w:bCs/>
          <w:snapToGrid w:val="0"/>
          <w:color w:val="auto"/>
          <w:kern w:val="0"/>
          <w:sz w:val="21"/>
          <w:szCs w:val="21"/>
          <w:u w:val="none"/>
          <w:lang w:eastAsia="zh-CN"/>
        </w:rPr>
        <w:t>。</w:t>
      </w:r>
      <w:r>
        <w:rPr>
          <w:rFonts w:hint="eastAsia" w:ascii="宋体" w:hAnsi="宋体" w:eastAsia="宋体" w:cs="MingLiU"/>
          <w:b w:val="0"/>
          <w:bCs/>
          <w:snapToGrid w:val="0"/>
          <w:color w:val="auto"/>
          <w:kern w:val="0"/>
          <w:sz w:val="21"/>
          <w:szCs w:val="21"/>
          <w:u w:val="none"/>
        </w:rPr>
        <w:t>提问时间从本公告发布至</w:t>
      </w:r>
      <w:r>
        <w:rPr>
          <w:rFonts w:hint="eastAsia" w:ascii="宋体" w:hAnsi="宋体" w:eastAsia="宋体" w:cs="MingLiU"/>
          <w:b w:val="0"/>
          <w:bCs/>
          <w:snapToGrid w:val="0"/>
          <w:color w:val="auto"/>
          <w:kern w:val="0"/>
          <w:sz w:val="21"/>
          <w:szCs w:val="21"/>
          <w:u w:val="none"/>
          <w:lang w:val="en-US" w:eastAsia="zh-CN"/>
        </w:rPr>
        <w:t>2022</w:t>
      </w:r>
      <w:r>
        <w:rPr>
          <w:rFonts w:hint="eastAsia" w:ascii="宋体" w:hAnsi="宋体" w:eastAsia="宋体" w:cs="MingLiU"/>
          <w:b w:val="0"/>
          <w:bCs/>
          <w:snapToGrid w:val="0"/>
          <w:color w:val="auto"/>
          <w:kern w:val="0"/>
          <w:sz w:val="21"/>
          <w:szCs w:val="21"/>
          <w:u w:val="none"/>
        </w:rPr>
        <w:t>年</w:t>
      </w:r>
      <w:r>
        <w:rPr>
          <w:rFonts w:hint="eastAsia" w:ascii="宋体" w:hAnsi="宋体" w:cs="MingLiU"/>
          <w:b w:val="0"/>
          <w:bCs/>
          <w:snapToGrid w:val="0"/>
          <w:color w:val="auto"/>
          <w:kern w:val="0"/>
          <w:sz w:val="21"/>
          <w:szCs w:val="21"/>
          <w:u w:val="none"/>
          <w:lang w:val="en-US" w:eastAsia="zh-CN"/>
        </w:rPr>
        <w:t>7</w:t>
      </w:r>
      <w:r>
        <w:rPr>
          <w:rFonts w:hint="eastAsia" w:ascii="宋体" w:hAnsi="宋体" w:eastAsia="宋体" w:cs="MingLiU"/>
          <w:b w:val="0"/>
          <w:bCs/>
          <w:snapToGrid w:val="0"/>
          <w:color w:val="auto"/>
          <w:kern w:val="0"/>
          <w:sz w:val="21"/>
          <w:szCs w:val="21"/>
          <w:u w:val="none"/>
        </w:rPr>
        <w:t>月</w:t>
      </w:r>
      <w:r>
        <w:rPr>
          <w:rFonts w:hint="eastAsia" w:ascii="宋体" w:hAnsi="宋体" w:cs="MingLiU"/>
          <w:b w:val="0"/>
          <w:bCs/>
          <w:snapToGrid w:val="0"/>
          <w:color w:val="auto"/>
          <w:kern w:val="0"/>
          <w:sz w:val="21"/>
          <w:szCs w:val="21"/>
          <w:u w:val="none"/>
          <w:lang w:val="en-US" w:eastAsia="zh-CN"/>
        </w:rPr>
        <w:t>7</w:t>
      </w:r>
      <w:r>
        <w:rPr>
          <w:rFonts w:hint="eastAsia" w:ascii="宋体" w:hAnsi="宋体" w:eastAsia="宋体" w:cs="MingLiU"/>
          <w:b w:val="0"/>
          <w:bCs/>
          <w:snapToGrid w:val="0"/>
          <w:color w:val="auto"/>
          <w:kern w:val="0"/>
          <w:sz w:val="21"/>
          <w:szCs w:val="21"/>
          <w:u w:val="none"/>
        </w:rPr>
        <w:t>日</w:t>
      </w:r>
      <w:r>
        <w:rPr>
          <w:rFonts w:hint="eastAsia" w:ascii="宋体" w:hAnsi="宋体" w:eastAsia="宋体" w:cs="MingLiU"/>
          <w:b w:val="0"/>
          <w:bCs/>
          <w:snapToGrid w:val="0"/>
          <w:color w:val="auto"/>
          <w:kern w:val="0"/>
          <w:sz w:val="21"/>
          <w:szCs w:val="21"/>
          <w:u w:val="none"/>
          <w:lang w:val="en-US" w:eastAsia="zh-CN"/>
        </w:rPr>
        <w:t>17</w:t>
      </w:r>
      <w:r>
        <w:rPr>
          <w:rFonts w:hint="eastAsia" w:ascii="宋体" w:hAnsi="宋体" w:eastAsia="宋体" w:cs="MingLiU"/>
          <w:b w:val="0"/>
          <w:bCs/>
          <w:snapToGrid w:val="0"/>
          <w:color w:val="auto"/>
          <w:kern w:val="0"/>
          <w:sz w:val="21"/>
          <w:szCs w:val="21"/>
          <w:u w:val="none"/>
        </w:rPr>
        <w:t>时</w:t>
      </w:r>
      <w:r>
        <w:rPr>
          <w:rFonts w:hint="eastAsia" w:ascii="宋体" w:hAnsi="宋体" w:eastAsia="宋体" w:cs="MingLiU"/>
          <w:b w:val="0"/>
          <w:bCs/>
          <w:snapToGrid w:val="0"/>
          <w:color w:val="auto"/>
          <w:kern w:val="0"/>
          <w:sz w:val="21"/>
          <w:szCs w:val="21"/>
          <w:u w:val="none"/>
          <w:lang w:val="en-US" w:eastAsia="zh-CN"/>
        </w:rPr>
        <w:t>00</w:t>
      </w:r>
      <w:r>
        <w:rPr>
          <w:rFonts w:hint="eastAsia" w:ascii="宋体" w:hAnsi="宋体" w:eastAsia="宋体" w:cs="MingLiU"/>
          <w:b w:val="0"/>
          <w:bCs/>
          <w:snapToGrid w:val="0"/>
          <w:color w:val="auto"/>
          <w:kern w:val="0"/>
          <w:sz w:val="21"/>
          <w:szCs w:val="21"/>
          <w:u w:val="none"/>
        </w:rPr>
        <w:t>分（北京时间）前。</w:t>
      </w:r>
    </w:p>
    <w:p>
      <w:pPr>
        <w:pageBreakBefore w:val="0"/>
        <w:widowControl w:val="0"/>
        <w:kinsoku/>
        <w:wordWrap/>
        <w:overflowPunct/>
        <w:topLinePunct w:val="0"/>
        <w:bidi w:val="0"/>
        <w:spacing w:line="460" w:lineRule="exact"/>
        <w:ind w:firstLine="420" w:firstLineChars="200"/>
        <w:textAlignment w:val="auto"/>
        <w:rPr>
          <w:rFonts w:hint="eastAsia" w:ascii="宋体" w:hAnsi="宋体" w:eastAsia="宋体" w:cs="MingLiU"/>
          <w:b w:val="0"/>
          <w:bCs/>
          <w:snapToGrid w:val="0"/>
          <w:color w:val="auto"/>
          <w:kern w:val="0"/>
          <w:sz w:val="21"/>
          <w:szCs w:val="21"/>
          <w:u w:val="none"/>
        </w:rPr>
      </w:pPr>
      <w:r>
        <w:rPr>
          <w:rFonts w:hint="eastAsia" w:ascii="宋体" w:hAnsi="宋体" w:eastAsia="宋体" w:cs="MingLiU"/>
          <w:b w:val="0"/>
          <w:bCs/>
          <w:snapToGrid w:val="0"/>
          <w:color w:val="auto"/>
          <w:kern w:val="0"/>
          <w:sz w:val="21"/>
          <w:szCs w:val="21"/>
          <w:u w:val="none"/>
          <w:lang w:val="en-US" w:eastAsia="zh-CN"/>
        </w:rPr>
        <w:t xml:space="preserve">4.3 </w:t>
      </w:r>
      <w:r>
        <w:rPr>
          <w:rFonts w:hint="eastAsia" w:ascii="宋体" w:hAnsi="宋体" w:eastAsia="宋体" w:cs="MingLiU"/>
          <w:b w:val="0"/>
          <w:bCs/>
          <w:snapToGrid w:val="0"/>
          <w:color w:val="auto"/>
          <w:kern w:val="0"/>
          <w:sz w:val="21"/>
          <w:szCs w:val="21"/>
          <w:u w:val="none"/>
          <w:lang w:eastAsia="zh-CN"/>
        </w:rPr>
        <w:t>比选</w:t>
      </w:r>
      <w:r>
        <w:rPr>
          <w:rFonts w:hint="eastAsia" w:ascii="宋体" w:hAnsi="宋体" w:eastAsia="宋体" w:cs="MingLiU"/>
          <w:b w:val="0"/>
          <w:bCs/>
          <w:snapToGrid w:val="0"/>
          <w:color w:val="auto"/>
          <w:kern w:val="0"/>
          <w:sz w:val="21"/>
          <w:szCs w:val="21"/>
          <w:u w:val="none"/>
        </w:rPr>
        <w:t>人应于</w:t>
      </w:r>
      <w:r>
        <w:rPr>
          <w:rFonts w:hint="eastAsia" w:ascii="宋体" w:hAnsi="宋体" w:eastAsia="宋体" w:cs="MingLiU"/>
          <w:b w:val="0"/>
          <w:bCs/>
          <w:snapToGrid w:val="0"/>
          <w:color w:val="auto"/>
          <w:kern w:val="0"/>
          <w:sz w:val="21"/>
          <w:szCs w:val="21"/>
          <w:u w:val="none"/>
          <w:lang w:val="en-US" w:eastAsia="zh-CN"/>
        </w:rPr>
        <w:t>2022</w:t>
      </w:r>
      <w:r>
        <w:rPr>
          <w:rFonts w:hint="eastAsia" w:ascii="宋体" w:hAnsi="宋体" w:eastAsia="宋体" w:cs="MingLiU"/>
          <w:b w:val="0"/>
          <w:bCs/>
          <w:snapToGrid w:val="0"/>
          <w:color w:val="auto"/>
          <w:kern w:val="0"/>
          <w:sz w:val="21"/>
          <w:szCs w:val="21"/>
          <w:u w:val="none"/>
        </w:rPr>
        <w:t>年</w:t>
      </w:r>
      <w:r>
        <w:rPr>
          <w:rFonts w:hint="eastAsia" w:ascii="宋体" w:hAnsi="宋体" w:cs="MingLiU"/>
          <w:b w:val="0"/>
          <w:bCs/>
          <w:snapToGrid w:val="0"/>
          <w:color w:val="auto"/>
          <w:kern w:val="0"/>
          <w:sz w:val="21"/>
          <w:szCs w:val="21"/>
          <w:u w:val="none"/>
          <w:lang w:val="en-US" w:eastAsia="zh-CN"/>
        </w:rPr>
        <w:t>7</w:t>
      </w:r>
      <w:r>
        <w:rPr>
          <w:rFonts w:hint="eastAsia" w:ascii="宋体" w:hAnsi="宋体" w:eastAsia="宋体" w:cs="MingLiU"/>
          <w:b w:val="0"/>
          <w:bCs/>
          <w:snapToGrid w:val="0"/>
          <w:color w:val="auto"/>
          <w:kern w:val="0"/>
          <w:sz w:val="21"/>
          <w:szCs w:val="21"/>
          <w:u w:val="none"/>
        </w:rPr>
        <w:t>月</w:t>
      </w:r>
      <w:r>
        <w:rPr>
          <w:rFonts w:hint="eastAsia" w:ascii="宋体" w:hAnsi="宋体" w:cs="MingLiU"/>
          <w:b w:val="0"/>
          <w:bCs/>
          <w:snapToGrid w:val="0"/>
          <w:color w:val="auto"/>
          <w:kern w:val="0"/>
          <w:sz w:val="21"/>
          <w:szCs w:val="21"/>
          <w:u w:val="none"/>
          <w:lang w:val="en-US" w:eastAsia="zh-CN"/>
        </w:rPr>
        <w:t>8</w:t>
      </w:r>
      <w:r>
        <w:rPr>
          <w:rFonts w:hint="eastAsia" w:ascii="宋体" w:hAnsi="宋体" w:eastAsia="宋体" w:cs="MingLiU"/>
          <w:b w:val="0"/>
          <w:bCs/>
          <w:snapToGrid w:val="0"/>
          <w:color w:val="auto"/>
          <w:kern w:val="0"/>
          <w:sz w:val="21"/>
          <w:szCs w:val="21"/>
          <w:u w:val="none"/>
        </w:rPr>
        <w:t>日</w:t>
      </w:r>
      <w:r>
        <w:rPr>
          <w:rFonts w:hint="eastAsia" w:ascii="宋体" w:hAnsi="宋体" w:eastAsia="宋体" w:cs="MingLiU"/>
          <w:b w:val="0"/>
          <w:bCs/>
          <w:snapToGrid w:val="0"/>
          <w:color w:val="auto"/>
          <w:kern w:val="0"/>
          <w:sz w:val="21"/>
          <w:szCs w:val="21"/>
          <w:u w:val="none"/>
          <w:lang w:val="en-US" w:eastAsia="zh-CN"/>
        </w:rPr>
        <w:t>17</w:t>
      </w:r>
      <w:r>
        <w:rPr>
          <w:rFonts w:hint="eastAsia" w:ascii="宋体" w:hAnsi="宋体" w:eastAsia="宋体" w:cs="MingLiU"/>
          <w:b w:val="0"/>
          <w:bCs/>
          <w:snapToGrid w:val="0"/>
          <w:color w:val="auto"/>
          <w:kern w:val="0"/>
          <w:sz w:val="21"/>
          <w:szCs w:val="21"/>
          <w:u w:val="none"/>
        </w:rPr>
        <w:t>时</w:t>
      </w:r>
      <w:r>
        <w:rPr>
          <w:rFonts w:hint="eastAsia" w:ascii="宋体" w:hAnsi="宋体" w:eastAsia="宋体" w:cs="MingLiU"/>
          <w:b w:val="0"/>
          <w:bCs/>
          <w:snapToGrid w:val="0"/>
          <w:color w:val="auto"/>
          <w:kern w:val="0"/>
          <w:sz w:val="21"/>
          <w:szCs w:val="21"/>
          <w:u w:val="none"/>
          <w:lang w:val="en-US" w:eastAsia="zh-CN"/>
        </w:rPr>
        <w:t>00</w:t>
      </w:r>
      <w:r>
        <w:rPr>
          <w:rFonts w:hint="eastAsia" w:ascii="宋体" w:hAnsi="宋体" w:eastAsia="宋体" w:cs="MingLiU"/>
          <w:b w:val="0"/>
          <w:bCs/>
          <w:snapToGrid w:val="0"/>
          <w:color w:val="auto"/>
          <w:kern w:val="0"/>
          <w:sz w:val="21"/>
          <w:szCs w:val="21"/>
          <w:u w:val="none"/>
        </w:rPr>
        <w:t>分（北京时间）前在</w:t>
      </w:r>
      <w:r>
        <w:rPr>
          <w:rFonts w:hint="eastAsia" w:ascii="宋体" w:hAnsi="宋体" w:cs="MingLiU"/>
          <w:b w:val="0"/>
          <w:bCs/>
          <w:snapToGrid w:val="0"/>
          <w:color w:val="auto"/>
          <w:kern w:val="0"/>
          <w:sz w:val="21"/>
          <w:szCs w:val="21"/>
          <w:u w:val="none"/>
          <w:lang w:eastAsia="zh-CN"/>
        </w:rPr>
        <w:t>重庆安居古城网站（http://www.anjugc.cn/index.htm）</w:t>
      </w:r>
      <w:r>
        <w:rPr>
          <w:rFonts w:hint="eastAsia" w:ascii="宋体" w:hAnsi="宋体" w:eastAsia="宋体" w:cs="MingLiU"/>
          <w:b w:val="0"/>
          <w:bCs/>
          <w:snapToGrid w:val="0"/>
          <w:color w:val="auto"/>
          <w:kern w:val="0"/>
          <w:sz w:val="21"/>
          <w:szCs w:val="21"/>
          <w:u w:val="none"/>
        </w:rPr>
        <w:t>发布澄清。</w:t>
      </w:r>
    </w:p>
    <w:p>
      <w:pPr>
        <w:pStyle w:val="6"/>
        <w:pageBreakBefore w:val="0"/>
        <w:widowControl w:val="0"/>
        <w:kinsoku/>
        <w:wordWrap/>
        <w:overflowPunct/>
        <w:topLinePunct w:val="0"/>
        <w:bidi w:val="0"/>
        <w:spacing w:before="0" w:beforeLines="0" w:after="0" w:afterLines="0" w:line="460" w:lineRule="exact"/>
        <w:textAlignment w:val="auto"/>
        <w:rPr>
          <w:rFonts w:hint="eastAsia" w:ascii="宋体" w:hAnsi="宋体"/>
          <w:snapToGrid w:val="0"/>
          <w:color w:val="auto"/>
          <w:sz w:val="21"/>
          <w:szCs w:val="21"/>
        </w:rPr>
      </w:pPr>
      <w:r>
        <w:rPr>
          <w:rFonts w:hint="eastAsia" w:ascii="宋体" w:hAnsi="宋体"/>
          <w:snapToGrid w:val="0"/>
          <w:color w:val="auto"/>
          <w:sz w:val="21"/>
          <w:szCs w:val="21"/>
        </w:rPr>
        <w:t>5、投标文件的递交</w:t>
      </w:r>
      <w:bookmarkEnd w:id="16"/>
    </w:p>
    <w:p>
      <w:pPr>
        <w:pageBreakBefore w:val="0"/>
        <w:widowControl w:val="0"/>
        <w:kinsoku/>
        <w:wordWrap/>
        <w:overflowPunct/>
        <w:topLinePunct w:val="0"/>
        <w:bidi w:val="0"/>
        <w:spacing w:line="460" w:lineRule="exact"/>
        <w:ind w:firstLine="420" w:firstLineChars="200"/>
        <w:textAlignment w:val="auto"/>
        <w:rPr>
          <w:rFonts w:hint="eastAsia" w:ascii="宋体" w:hAnsi="宋体" w:cs="MingLiU"/>
          <w:snapToGrid w:val="0"/>
          <w:color w:val="auto"/>
          <w:kern w:val="0"/>
          <w:sz w:val="21"/>
          <w:szCs w:val="21"/>
          <w:u w:val="none"/>
        </w:rPr>
      </w:pPr>
      <w:bookmarkStart w:id="17" w:name="_Toc452058678"/>
      <w:r>
        <w:rPr>
          <w:rFonts w:ascii="宋体" w:hAnsi="宋体"/>
          <w:snapToGrid w:val="0"/>
          <w:color w:val="auto"/>
          <w:kern w:val="0"/>
          <w:sz w:val="21"/>
          <w:szCs w:val="21"/>
        </w:rPr>
        <w:t xml:space="preserve">5.1 </w:t>
      </w:r>
      <w:r>
        <w:rPr>
          <w:rFonts w:hint="eastAsia" w:ascii="宋体" w:hAnsi="宋体" w:cs="MingLiU"/>
          <w:snapToGrid w:val="0"/>
          <w:color w:val="auto"/>
          <w:kern w:val="0"/>
          <w:sz w:val="21"/>
          <w:szCs w:val="21"/>
        </w:rPr>
        <w:t>投标文件递交时间为</w:t>
      </w:r>
      <w:r>
        <w:rPr>
          <w:rFonts w:hint="eastAsia" w:ascii="宋体" w:hAnsi="宋体" w:cs="宋体"/>
          <w:b w:val="0"/>
          <w:bCs/>
          <w:color w:val="auto"/>
          <w:kern w:val="0"/>
          <w:sz w:val="21"/>
          <w:szCs w:val="21"/>
          <w:u w:val="none"/>
          <w:lang w:eastAsia="zh-CN"/>
        </w:rPr>
        <w:t>202</w:t>
      </w:r>
      <w:r>
        <w:rPr>
          <w:rFonts w:hint="eastAsia" w:ascii="宋体" w:hAnsi="宋体" w:cs="宋体"/>
          <w:b w:val="0"/>
          <w:bCs/>
          <w:color w:val="auto"/>
          <w:kern w:val="0"/>
          <w:sz w:val="21"/>
          <w:szCs w:val="21"/>
          <w:u w:val="none"/>
          <w:lang w:val="en-US" w:eastAsia="zh-CN"/>
        </w:rPr>
        <w:t>2</w:t>
      </w:r>
      <w:r>
        <w:rPr>
          <w:rFonts w:hint="eastAsia" w:ascii="宋体" w:hAnsi="宋体" w:cs="宋体"/>
          <w:b w:val="0"/>
          <w:bCs/>
          <w:color w:val="auto"/>
          <w:kern w:val="0"/>
          <w:sz w:val="21"/>
          <w:szCs w:val="21"/>
          <w:u w:val="none"/>
          <w:lang w:eastAsia="zh-CN"/>
        </w:rPr>
        <w:t>年</w:t>
      </w:r>
      <w:r>
        <w:rPr>
          <w:rFonts w:hint="eastAsia" w:ascii="宋体" w:hAnsi="宋体" w:cs="宋体"/>
          <w:b w:val="0"/>
          <w:bCs/>
          <w:color w:val="auto"/>
          <w:kern w:val="0"/>
          <w:sz w:val="21"/>
          <w:szCs w:val="21"/>
          <w:u w:val="none"/>
          <w:lang w:val="en-US" w:eastAsia="zh-CN"/>
        </w:rPr>
        <w:t>7月13日</w:t>
      </w:r>
      <w:r>
        <w:rPr>
          <w:rFonts w:hint="eastAsia" w:ascii="宋体" w:hAnsi="宋体" w:cs="MingLiU"/>
          <w:b w:val="0"/>
          <w:bCs/>
          <w:snapToGrid w:val="0"/>
          <w:color w:val="auto"/>
          <w:kern w:val="0"/>
          <w:sz w:val="21"/>
          <w:szCs w:val="21"/>
          <w:u w:val="none"/>
          <w:lang w:val="en-US" w:eastAsia="zh-CN"/>
        </w:rPr>
        <w:t>9时00分</w:t>
      </w:r>
      <w:r>
        <w:rPr>
          <w:rFonts w:hint="eastAsia" w:ascii="宋体" w:hAnsi="宋体" w:cs="MingLiU"/>
          <w:b w:val="0"/>
          <w:bCs/>
          <w:snapToGrid w:val="0"/>
          <w:color w:val="auto"/>
          <w:kern w:val="0"/>
          <w:sz w:val="21"/>
          <w:szCs w:val="21"/>
          <w:u w:val="none"/>
        </w:rPr>
        <w:t>至</w:t>
      </w:r>
      <w:r>
        <w:rPr>
          <w:rFonts w:hint="eastAsia" w:ascii="宋体" w:hAnsi="宋体" w:cs="宋体"/>
          <w:b w:val="0"/>
          <w:bCs/>
          <w:color w:val="auto"/>
          <w:kern w:val="0"/>
          <w:sz w:val="21"/>
          <w:szCs w:val="21"/>
          <w:u w:val="none"/>
          <w:lang w:eastAsia="zh-CN"/>
        </w:rPr>
        <w:t>202</w:t>
      </w:r>
      <w:r>
        <w:rPr>
          <w:rFonts w:hint="eastAsia" w:ascii="宋体" w:hAnsi="宋体" w:cs="宋体"/>
          <w:b w:val="0"/>
          <w:bCs/>
          <w:color w:val="auto"/>
          <w:kern w:val="0"/>
          <w:sz w:val="21"/>
          <w:szCs w:val="21"/>
          <w:u w:val="none"/>
          <w:lang w:val="en-US" w:eastAsia="zh-CN"/>
        </w:rPr>
        <w:t>2</w:t>
      </w:r>
      <w:r>
        <w:rPr>
          <w:rFonts w:hint="eastAsia" w:ascii="宋体" w:hAnsi="宋体" w:cs="宋体"/>
          <w:b w:val="0"/>
          <w:bCs/>
          <w:color w:val="auto"/>
          <w:kern w:val="0"/>
          <w:sz w:val="21"/>
          <w:szCs w:val="21"/>
          <w:u w:val="none"/>
          <w:lang w:eastAsia="zh-CN"/>
        </w:rPr>
        <w:t>年</w:t>
      </w:r>
      <w:r>
        <w:rPr>
          <w:rFonts w:hint="eastAsia" w:ascii="宋体" w:hAnsi="宋体" w:cs="宋体"/>
          <w:b w:val="0"/>
          <w:bCs/>
          <w:color w:val="auto"/>
          <w:kern w:val="0"/>
          <w:sz w:val="21"/>
          <w:szCs w:val="21"/>
          <w:u w:val="none"/>
          <w:lang w:val="en-US" w:eastAsia="zh-CN"/>
        </w:rPr>
        <w:t>7月13日</w:t>
      </w:r>
      <w:r>
        <w:rPr>
          <w:rFonts w:hint="eastAsia" w:ascii="宋体" w:hAnsi="宋体" w:cs="MingLiU"/>
          <w:b w:val="0"/>
          <w:bCs/>
          <w:snapToGrid w:val="0"/>
          <w:color w:val="auto"/>
          <w:kern w:val="0"/>
          <w:sz w:val="21"/>
          <w:szCs w:val="21"/>
          <w:u w:val="none"/>
          <w:lang w:val="en-US" w:eastAsia="zh-CN"/>
        </w:rPr>
        <w:t>9时30分</w:t>
      </w:r>
      <w:r>
        <w:rPr>
          <w:rFonts w:hint="eastAsia" w:ascii="宋体" w:hAnsi="宋体" w:cs="MingLiU"/>
          <w:b w:val="0"/>
          <w:bCs/>
          <w:snapToGrid w:val="0"/>
          <w:color w:val="auto"/>
          <w:kern w:val="0"/>
          <w:sz w:val="21"/>
          <w:szCs w:val="21"/>
          <w:u w:val="none"/>
        </w:rPr>
        <w:t>，投标文件递交的截止时间（投标截止时间，下同）为</w:t>
      </w:r>
      <w:r>
        <w:rPr>
          <w:rFonts w:hint="eastAsia" w:ascii="宋体" w:hAnsi="宋体" w:cs="宋体"/>
          <w:b w:val="0"/>
          <w:bCs/>
          <w:color w:val="auto"/>
          <w:kern w:val="0"/>
          <w:sz w:val="21"/>
          <w:szCs w:val="21"/>
          <w:u w:val="none"/>
          <w:lang w:eastAsia="zh-CN"/>
        </w:rPr>
        <w:t>202</w:t>
      </w:r>
      <w:r>
        <w:rPr>
          <w:rFonts w:hint="eastAsia" w:ascii="宋体" w:hAnsi="宋体" w:cs="宋体"/>
          <w:b w:val="0"/>
          <w:bCs/>
          <w:color w:val="auto"/>
          <w:kern w:val="0"/>
          <w:sz w:val="21"/>
          <w:szCs w:val="21"/>
          <w:u w:val="none"/>
          <w:lang w:val="en-US" w:eastAsia="zh-CN"/>
        </w:rPr>
        <w:t>2</w:t>
      </w:r>
      <w:r>
        <w:rPr>
          <w:rFonts w:hint="eastAsia" w:ascii="宋体" w:hAnsi="宋体" w:cs="宋体"/>
          <w:b w:val="0"/>
          <w:bCs/>
          <w:color w:val="auto"/>
          <w:kern w:val="0"/>
          <w:sz w:val="21"/>
          <w:szCs w:val="21"/>
          <w:u w:val="none"/>
          <w:lang w:eastAsia="zh-CN"/>
        </w:rPr>
        <w:t>年</w:t>
      </w:r>
      <w:r>
        <w:rPr>
          <w:rFonts w:hint="eastAsia" w:ascii="宋体" w:hAnsi="宋体" w:cs="宋体"/>
          <w:b w:val="0"/>
          <w:bCs/>
          <w:color w:val="auto"/>
          <w:kern w:val="0"/>
          <w:sz w:val="21"/>
          <w:szCs w:val="21"/>
          <w:u w:val="none"/>
          <w:lang w:val="en-US" w:eastAsia="zh-CN"/>
        </w:rPr>
        <w:t>7月13日</w:t>
      </w:r>
      <w:r>
        <w:rPr>
          <w:rFonts w:hint="eastAsia" w:ascii="宋体" w:hAnsi="宋体" w:cs="MingLiU"/>
          <w:b w:val="0"/>
          <w:bCs/>
          <w:snapToGrid w:val="0"/>
          <w:color w:val="auto"/>
          <w:kern w:val="0"/>
          <w:sz w:val="21"/>
          <w:szCs w:val="21"/>
          <w:u w:val="none"/>
          <w:lang w:val="en-US" w:eastAsia="zh-CN"/>
        </w:rPr>
        <w:t>9时30分</w:t>
      </w:r>
      <w:r>
        <w:rPr>
          <w:rFonts w:hint="eastAsia" w:ascii="宋体" w:hAnsi="宋体" w:cs="MingLiU"/>
          <w:b w:val="0"/>
          <w:bCs/>
          <w:snapToGrid w:val="0"/>
          <w:color w:val="auto"/>
          <w:kern w:val="0"/>
          <w:sz w:val="21"/>
          <w:szCs w:val="21"/>
          <w:u w:val="none"/>
        </w:rPr>
        <w:t>，地点</w:t>
      </w:r>
      <w:r>
        <w:rPr>
          <w:rFonts w:hint="eastAsia" w:ascii="宋体" w:hAnsi="宋体" w:cs="MingLiU"/>
          <w:b w:val="0"/>
          <w:bCs/>
          <w:snapToGrid w:val="0"/>
          <w:color w:val="auto"/>
          <w:kern w:val="0"/>
          <w:sz w:val="21"/>
          <w:szCs w:val="21"/>
          <w:u w:val="none"/>
          <w:lang w:eastAsia="zh-CN"/>
        </w:rPr>
        <w:t>：重庆安居古城华夏文化旅游发展有限公司会议室</w:t>
      </w:r>
      <w:r>
        <w:rPr>
          <w:rFonts w:hint="eastAsia" w:ascii="宋体" w:hAnsi="宋体" w:cs="MingLiU"/>
          <w:snapToGrid w:val="0"/>
          <w:color w:val="auto"/>
          <w:kern w:val="0"/>
          <w:sz w:val="21"/>
          <w:szCs w:val="21"/>
          <w:u w:val="none"/>
        </w:rPr>
        <w:t>。</w:t>
      </w:r>
    </w:p>
    <w:p>
      <w:pPr>
        <w:pageBreakBefore w:val="0"/>
        <w:widowControl w:val="0"/>
        <w:kinsoku/>
        <w:wordWrap/>
        <w:overflowPunct/>
        <w:topLinePunct w:val="0"/>
        <w:autoSpaceDE w:val="0"/>
        <w:autoSpaceDN w:val="0"/>
        <w:bidi w:val="0"/>
        <w:adjustRightInd w:val="0"/>
        <w:snapToGrid w:val="0"/>
        <w:spacing w:line="460" w:lineRule="exact"/>
        <w:jc w:val="left"/>
        <w:textAlignment w:val="auto"/>
        <w:rPr>
          <w:rFonts w:ascii="宋体" w:hAnsi="宋体" w:cs="MingLiU"/>
          <w:snapToGrid w:val="0"/>
          <w:color w:val="auto"/>
          <w:kern w:val="0"/>
          <w:sz w:val="21"/>
          <w:szCs w:val="21"/>
        </w:rPr>
      </w:pPr>
      <w:r>
        <w:rPr>
          <w:rFonts w:hint="eastAsia" w:ascii="宋体" w:hAnsi="宋体"/>
          <w:snapToGrid w:val="0"/>
          <w:color w:val="auto"/>
          <w:kern w:val="0"/>
          <w:sz w:val="21"/>
          <w:szCs w:val="21"/>
        </w:rPr>
        <w:t xml:space="preserve">    </w:t>
      </w:r>
      <w:r>
        <w:rPr>
          <w:rFonts w:ascii="宋体" w:hAnsi="宋体"/>
          <w:snapToGrid w:val="0"/>
          <w:color w:val="auto"/>
          <w:kern w:val="0"/>
          <w:sz w:val="21"/>
          <w:szCs w:val="21"/>
        </w:rPr>
        <w:t xml:space="preserve">5.2 </w:t>
      </w:r>
      <w:r>
        <w:rPr>
          <w:rFonts w:hint="eastAsia" w:ascii="宋体" w:hAnsi="宋体" w:cs="MingLiU"/>
          <w:snapToGrid w:val="0"/>
          <w:color w:val="auto"/>
          <w:kern w:val="0"/>
          <w:sz w:val="21"/>
          <w:szCs w:val="21"/>
        </w:rPr>
        <w:t>逾期送达的或者未送达指定地点的投标文件，招标人不予受理。</w:t>
      </w:r>
    </w:p>
    <w:p>
      <w:pPr>
        <w:pStyle w:val="6"/>
        <w:pageBreakBefore w:val="0"/>
        <w:widowControl w:val="0"/>
        <w:kinsoku/>
        <w:wordWrap/>
        <w:overflowPunct/>
        <w:topLinePunct w:val="0"/>
        <w:bidi w:val="0"/>
        <w:spacing w:before="0" w:beforeLines="0" w:after="0" w:afterLines="0" w:line="460" w:lineRule="exact"/>
        <w:textAlignment w:val="auto"/>
        <w:rPr>
          <w:rFonts w:hint="eastAsia" w:ascii="宋体" w:hAnsi="宋体"/>
          <w:snapToGrid w:val="0"/>
          <w:color w:val="auto"/>
          <w:sz w:val="21"/>
          <w:szCs w:val="21"/>
        </w:rPr>
      </w:pPr>
      <w:r>
        <w:rPr>
          <w:rFonts w:hint="eastAsia" w:ascii="宋体" w:hAnsi="宋体"/>
          <w:snapToGrid w:val="0"/>
          <w:color w:val="auto"/>
          <w:sz w:val="21"/>
          <w:szCs w:val="21"/>
        </w:rPr>
        <w:t>6、发布公告的媒介</w:t>
      </w:r>
      <w:bookmarkEnd w:id="17"/>
    </w:p>
    <w:p>
      <w:pPr>
        <w:pageBreakBefore w:val="0"/>
        <w:widowControl w:val="0"/>
        <w:kinsoku/>
        <w:wordWrap/>
        <w:overflowPunct/>
        <w:topLinePunct w:val="0"/>
        <w:bidi w:val="0"/>
        <w:spacing w:line="460" w:lineRule="exact"/>
        <w:ind w:firstLine="420" w:firstLineChars="200"/>
        <w:textAlignment w:val="auto"/>
        <w:rPr>
          <w:rFonts w:ascii="宋体" w:hAnsi="宋体" w:cs="宋体"/>
          <w:color w:val="auto"/>
          <w:kern w:val="0"/>
          <w:sz w:val="21"/>
          <w:szCs w:val="21"/>
        </w:rPr>
      </w:pPr>
      <w:r>
        <w:rPr>
          <w:rFonts w:hint="eastAsia" w:ascii="宋体" w:hAnsi="宋体" w:cs="宋体"/>
          <w:color w:val="auto"/>
          <w:kern w:val="0"/>
          <w:sz w:val="21"/>
          <w:szCs w:val="21"/>
        </w:rPr>
        <w:t>本次比选公告在</w:t>
      </w:r>
      <w:r>
        <w:rPr>
          <w:rFonts w:hint="eastAsia" w:ascii="宋体" w:hAnsi="宋体" w:cs="宋体"/>
          <w:color w:val="auto"/>
          <w:kern w:val="0"/>
          <w:sz w:val="21"/>
          <w:szCs w:val="21"/>
          <w:lang w:eastAsia="zh-CN"/>
        </w:rPr>
        <w:t>重庆安居古城网站（http://www.anjugc.cn/index.htm）</w:t>
      </w:r>
      <w:r>
        <w:rPr>
          <w:rFonts w:hint="eastAsia" w:ascii="宋体" w:hAnsi="宋体" w:cs="宋体"/>
          <w:color w:val="auto"/>
          <w:kern w:val="0"/>
          <w:sz w:val="21"/>
          <w:szCs w:val="21"/>
        </w:rPr>
        <w:t>上发布。</w:t>
      </w:r>
    </w:p>
    <w:p>
      <w:pPr>
        <w:pStyle w:val="6"/>
        <w:pageBreakBefore w:val="0"/>
        <w:widowControl w:val="0"/>
        <w:kinsoku/>
        <w:wordWrap/>
        <w:overflowPunct/>
        <w:topLinePunct w:val="0"/>
        <w:bidi w:val="0"/>
        <w:spacing w:before="0" w:beforeLines="0" w:after="0" w:afterLines="0" w:line="460" w:lineRule="exact"/>
        <w:textAlignment w:val="auto"/>
        <w:rPr>
          <w:rFonts w:hint="eastAsia" w:ascii="宋体" w:hAnsi="宋体"/>
          <w:snapToGrid w:val="0"/>
          <w:color w:val="auto"/>
          <w:sz w:val="21"/>
          <w:szCs w:val="21"/>
        </w:rPr>
      </w:pPr>
      <w:bookmarkStart w:id="18" w:name="_Toc452058679"/>
      <w:r>
        <w:rPr>
          <w:rFonts w:hint="eastAsia" w:ascii="宋体" w:hAnsi="宋体"/>
          <w:snapToGrid w:val="0"/>
          <w:color w:val="auto"/>
          <w:sz w:val="21"/>
          <w:szCs w:val="21"/>
        </w:rPr>
        <w:t>7、联系方式</w:t>
      </w:r>
      <w:bookmarkEnd w:id="18"/>
    </w:p>
    <w:p>
      <w:pPr>
        <w:pageBreakBefore w:val="0"/>
        <w:widowControl w:val="0"/>
        <w:kinsoku/>
        <w:wordWrap/>
        <w:overflowPunct/>
        <w:topLinePunct w:val="0"/>
        <w:bidi w:val="0"/>
        <w:spacing w:line="460" w:lineRule="exact"/>
        <w:ind w:firstLine="420" w:firstLineChars="200"/>
        <w:jc w:val="left"/>
        <w:textAlignment w:val="auto"/>
        <w:rPr>
          <w:rFonts w:hint="eastAsia" w:ascii="宋体" w:hAnsi="宋体" w:cs="MingLiU"/>
          <w:snapToGrid w:val="0"/>
          <w:color w:val="auto"/>
          <w:kern w:val="0"/>
          <w:sz w:val="21"/>
          <w:szCs w:val="21"/>
          <w:u w:val="none"/>
        </w:rPr>
      </w:pPr>
      <w:bookmarkStart w:id="19" w:name="_Toc13425"/>
      <w:bookmarkStart w:id="20" w:name="_Toc24949"/>
      <w:bookmarkStart w:id="21" w:name="_Toc287607744"/>
      <w:bookmarkStart w:id="22" w:name="_Toc15706"/>
      <w:bookmarkStart w:id="23" w:name="_Toc224103315"/>
      <w:r>
        <w:rPr>
          <w:rFonts w:hint="eastAsia" w:ascii="宋体" w:hAnsi="宋体" w:cs="宋体"/>
          <w:color w:val="auto"/>
          <w:kern w:val="0"/>
          <w:sz w:val="21"/>
          <w:szCs w:val="21"/>
        </w:rPr>
        <w:t>比选人：</w:t>
      </w:r>
      <w:r>
        <w:rPr>
          <w:rFonts w:hint="eastAsia" w:ascii="宋体" w:hAnsi="宋体" w:cs="MingLiU"/>
          <w:snapToGrid w:val="0"/>
          <w:color w:val="auto"/>
          <w:kern w:val="0"/>
          <w:sz w:val="21"/>
          <w:szCs w:val="21"/>
          <w:u w:val="none"/>
          <w:lang w:eastAsia="zh-CN"/>
        </w:rPr>
        <w:t>重庆安居古城华夏文化旅游发展有限公司</w:t>
      </w:r>
    </w:p>
    <w:p>
      <w:pPr>
        <w:pageBreakBefore w:val="0"/>
        <w:widowControl w:val="0"/>
        <w:kinsoku/>
        <w:wordWrap/>
        <w:overflowPunct/>
        <w:topLinePunct w:val="0"/>
        <w:bidi w:val="0"/>
        <w:spacing w:line="460" w:lineRule="exact"/>
        <w:ind w:right="67" w:rightChars="32" w:firstLine="420" w:firstLineChars="200"/>
        <w:textAlignment w:val="auto"/>
        <w:rPr>
          <w:rFonts w:hint="eastAsia" w:ascii="宋体" w:hAnsi="宋体" w:cs="宋体"/>
          <w:color w:val="auto"/>
          <w:kern w:val="0"/>
          <w:sz w:val="21"/>
          <w:szCs w:val="21"/>
          <w:u w:val="none"/>
        </w:rPr>
      </w:pPr>
      <w:r>
        <w:rPr>
          <w:rFonts w:hint="eastAsia" w:ascii="宋体" w:hAnsi="宋体" w:cs="宋体"/>
          <w:color w:val="auto"/>
          <w:kern w:val="0"/>
          <w:sz w:val="21"/>
          <w:szCs w:val="21"/>
          <w:u w:val="none"/>
        </w:rPr>
        <w:t>地址：</w:t>
      </w:r>
      <w:r>
        <w:rPr>
          <w:rFonts w:hint="eastAsia" w:ascii="宋体" w:hAnsi="宋体" w:cs="MingLiU"/>
          <w:snapToGrid w:val="0"/>
          <w:color w:val="auto"/>
          <w:kern w:val="0"/>
          <w:sz w:val="21"/>
          <w:szCs w:val="21"/>
          <w:u w:val="none"/>
          <w:lang w:eastAsia="zh-CN"/>
        </w:rPr>
        <w:t>重庆市铜梁区</w:t>
      </w:r>
      <w:r>
        <w:rPr>
          <w:rFonts w:hint="eastAsia" w:ascii="宋体" w:hAnsi="宋体" w:cs="MingLiU"/>
          <w:snapToGrid w:val="0"/>
          <w:color w:val="auto"/>
          <w:kern w:val="0"/>
          <w:sz w:val="21"/>
          <w:szCs w:val="21"/>
          <w:u w:val="none"/>
          <w:lang w:val="en-US" w:eastAsia="zh-CN"/>
        </w:rPr>
        <w:t>后河街</w:t>
      </w:r>
    </w:p>
    <w:p>
      <w:pPr>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rPr>
        <w:t>联系人：</w:t>
      </w:r>
      <w:r>
        <w:rPr>
          <w:rFonts w:hint="eastAsia" w:ascii="宋体" w:hAnsi="宋体" w:cs="宋体"/>
          <w:snapToGrid w:val="0"/>
          <w:color w:val="auto"/>
          <w:kern w:val="0"/>
          <w:sz w:val="21"/>
          <w:szCs w:val="21"/>
          <w:lang w:val="en-US" w:eastAsia="zh-CN"/>
        </w:rPr>
        <w:t>于</w:t>
      </w:r>
      <w:r>
        <w:rPr>
          <w:rFonts w:hint="eastAsia" w:ascii="宋体" w:hAnsi="宋体" w:eastAsia="宋体" w:cs="宋体"/>
          <w:snapToGrid w:val="0"/>
          <w:color w:val="auto"/>
          <w:kern w:val="0"/>
          <w:sz w:val="21"/>
          <w:szCs w:val="21"/>
          <w:lang w:val="en-US" w:eastAsia="zh-CN"/>
        </w:rPr>
        <w:t>老师</w:t>
      </w:r>
    </w:p>
    <w:p>
      <w:pPr>
        <w:pageBreakBefore w:val="0"/>
        <w:widowControl w:val="0"/>
        <w:kinsoku/>
        <w:wordWrap/>
        <w:overflowPunct/>
        <w:topLinePunct w:val="0"/>
        <w:bidi w:val="0"/>
        <w:spacing w:line="460" w:lineRule="exact"/>
        <w:ind w:firstLine="420" w:firstLineChars="200"/>
        <w:textAlignment w:val="auto"/>
        <w:rPr>
          <w:rFonts w:hint="default"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rPr>
        <w:t>联系电话：</w:t>
      </w:r>
      <w:r>
        <w:rPr>
          <w:rFonts w:hint="eastAsia" w:ascii="宋体" w:hAnsi="宋体" w:cs="宋体"/>
          <w:snapToGrid w:val="0"/>
          <w:color w:val="auto"/>
          <w:kern w:val="0"/>
          <w:sz w:val="21"/>
          <w:szCs w:val="21"/>
          <w:lang w:val="en-US" w:eastAsia="zh-CN"/>
        </w:rPr>
        <w:t>17783939610</w:t>
      </w:r>
    </w:p>
    <w:p>
      <w:pPr>
        <w:pageBreakBefore w:val="0"/>
        <w:widowControl w:val="0"/>
        <w:kinsoku/>
        <w:wordWrap/>
        <w:overflowPunct/>
        <w:topLinePunct w:val="0"/>
        <w:bidi w:val="0"/>
        <w:spacing w:line="460" w:lineRule="exact"/>
        <w:ind w:firstLine="420" w:firstLineChars="200"/>
        <w:textAlignment w:val="auto"/>
        <w:rPr>
          <w:rFonts w:hint="eastAsia" w:ascii="宋体" w:hAnsi="宋体" w:cs="MingLiU"/>
          <w:snapToGrid w:val="0"/>
          <w:color w:val="auto"/>
          <w:kern w:val="0"/>
          <w:sz w:val="21"/>
          <w:szCs w:val="21"/>
          <w:u w:val="none"/>
        </w:rPr>
      </w:pPr>
      <w:r>
        <w:rPr>
          <w:rFonts w:hint="eastAsia" w:ascii="宋体" w:hAnsi="宋体" w:cs="宋体"/>
          <w:color w:val="auto"/>
          <w:kern w:val="0"/>
          <w:sz w:val="21"/>
          <w:szCs w:val="21"/>
          <w:u w:val="none"/>
        </w:rPr>
        <w:t xml:space="preserve">                     </w:t>
      </w:r>
    </w:p>
    <w:p>
      <w:pPr>
        <w:pStyle w:val="4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Lines="0" w:beforeAutospacing="0" w:after="0" w:afterLines="0" w:afterAutospacing="0" w:line="460" w:lineRule="exact"/>
        <w:ind w:right="0" w:firstLine="420" w:firstLineChars="200"/>
        <w:jc w:val="left"/>
        <w:textAlignment w:val="auto"/>
        <w:rPr>
          <w:rFonts w:hint="eastAsia" w:ascii="宋体" w:hAnsi="宋体" w:eastAsia="宋体" w:cs="宋体"/>
          <w:snapToGrid w:val="0"/>
          <w:color w:val="auto"/>
          <w:kern w:val="0"/>
          <w:sz w:val="21"/>
          <w:szCs w:val="21"/>
          <w:lang w:val="en-US" w:eastAsia="zh-CN" w:bidi="ar-SA"/>
        </w:rPr>
      </w:pPr>
      <w:r>
        <w:rPr>
          <w:rFonts w:hint="eastAsia" w:eastAsia="宋体" w:cs="宋体"/>
          <w:snapToGrid w:val="0"/>
          <w:color w:val="auto"/>
          <w:kern w:val="0"/>
          <w:sz w:val="21"/>
          <w:szCs w:val="21"/>
          <w:lang w:val="en-US" w:eastAsia="zh-CN" w:bidi="ar-SA"/>
        </w:rPr>
        <w:t>比</w:t>
      </w:r>
      <w:r>
        <w:rPr>
          <w:rFonts w:hint="eastAsia" w:ascii="宋体" w:hAnsi="宋体" w:eastAsia="宋体" w:cs="宋体"/>
          <w:snapToGrid w:val="0"/>
          <w:color w:val="auto"/>
          <w:kern w:val="0"/>
          <w:sz w:val="21"/>
          <w:szCs w:val="21"/>
          <w:lang w:val="en-US" w:eastAsia="zh-CN" w:bidi="ar-SA"/>
        </w:rPr>
        <w:t>选代理机构</w:t>
      </w:r>
      <w:r>
        <w:rPr>
          <w:rFonts w:hint="eastAsia" w:eastAsia="宋体" w:cs="宋体"/>
          <w:snapToGrid w:val="0"/>
          <w:color w:val="auto"/>
          <w:kern w:val="0"/>
          <w:sz w:val="21"/>
          <w:szCs w:val="21"/>
          <w:lang w:val="en-US" w:eastAsia="zh-CN" w:bidi="ar-SA"/>
        </w:rPr>
        <w:t>：</w:t>
      </w:r>
      <w:r>
        <w:rPr>
          <w:rFonts w:hint="eastAsia" w:ascii="宋体" w:hAnsi="宋体" w:eastAsia="宋体" w:cs="宋体"/>
          <w:snapToGrid w:val="0"/>
          <w:color w:val="auto"/>
          <w:kern w:val="0"/>
          <w:sz w:val="21"/>
          <w:szCs w:val="21"/>
          <w:lang w:val="en-US" w:eastAsia="zh-CN" w:bidi="ar-SA"/>
        </w:rPr>
        <w:t xml:space="preserve"> </w:t>
      </w:r>
      <w:r>
        <w:rPr>
          <w:rFonts w:hint="eastAsia" w:cs="宋体"/>
          <w:snapToGrid w:val="0"/>
          <w:color w:val="auto"/>
          <w:kern w:val="0"/>
          <w:sz w:val="21"/>
          <w:szCs w:val="21"/>
          <w:lang w:val="en-US" w:eastAsia="zh-CN" w:bidi="ar-SA"/>
        </w:rPr>
        <w:t>重庆共赢工程项目管理咨询有限公司</w:t>
      </w:r>
    </w:p>
    <w:p>
      <w:pPr>
        <w:pStyle w:val="4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Lines="0" w:beforeAutospacing="0" w:after="0" w:afterLines="0" w:afterAutospacing="0" w:line="460" w:lineRule="exact"/>
        <w:ind w:right="0" w:firstLine="420" w:firstLineChars="200"/>
        <w:jc w:val="left"/>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地  址</w:t>
      </w:r>
      <w:r>
        <w:rPr>
          <w:rFonts w:hint="eastAsia" w:eastAsia="宋体" w:cs="宋体"/>
          <w:snapToGrid w:val="0"/>
          <w:color w:val="auto"/>
          <w:kern w:val="0"/>
          <w:sz w:val="21"/>
          <w:szCs w:val="21"/>
          <w:lang w:val="en-US" w:eastAsia="zh-CN" w:bidi="ar-SA"/>
        </w:rPr>
        <w:t>：</w:t>
      </w:r>
      <w:r>
        <w:rPr>
          <w:rFonts w:hint="eastAsia" w:cs="宋体"/>
          <w:snapToGrid w:val="0"/>
          <w:color w:val="auto"/>
          <w:kern w:val="0"/>
          <w:sz w:val="21"/>
          <w:szCs w:val="21"/>
          <w:lang w:val="en-US" w:eastAsia="zh-CN" w:bidi="ar-SA"/>
        </w:rPr>
        <w:t>重庆市铜梁区凤翔路</w:t>
      </w:r>
    </w:p>
    <w:p>
      <w:pPr>
        <w:pStyle w:val="4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Lines="0" w:beforeAutospacing="0" w:after="0" w:afterLines="0" w:afterAutospacing="0" w:line="460" w:lineRule="exact"/>
        <w:ind w:right="0" w:firstLine="420" w:firstLineChars="200"/>
        <w:jc w:val="left"/>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联系人</w:t>
      </w:r>
      <w:r>
        <w:rPr>
          <w:rFonts w:hint="eastAsia" w:eastAsia="宋体" w:cs="宋体"/>
          <w:snapToGrid w:val="0"/>
          <w:color w:val="auto"/>
          <w:kern w:val="0"/>
          <w:sz w:val="21"/>
          <w:szCs w:val="21"/>
          <w:lang w:val="en-US" w:eastAsia="zh-CN" w:bidi="ar-SA"/>
        </w:rPr>
        <w:t>：</w:t>
      </w:r>
      <w:r>
        <w:rPr>
          <w:rFonts w:hint="eastAsia" w:cs="宋体"/>
          <w:snapToGrid w:val="0"/>
          <w:color w:val="auto"/>
          <w:kern w:val="0"/>
          <w:sz w:val="21"/>
          <w:szCs w:val="21"/>
          <w:lang w:val="en-US" w:eastAsia="zh-CN" w:bidi="ar-SA"/>
        </w:rPr>
        <w:t>陈</w:t>
      </w:r>
      <w:r>
        <w:rPr>
          <w:rFonts w:hint="eastAsia" w:eastAsia="宋体" w:cs="宋体"/>
          <w:snapToGrid w:val="0"/>
          <w:color w:val="auto"/>
          <w:kern w:val="0"/>
          <w:sz w:val="21"/>
          <w:szCs w:val="21"/>
          <w:lang w:val="en-US" w:eastAsia="zh-CN" w:bidi="ar-SA"/>
        </w:rPr>
        <w:t>老师</w:t>
      </w:r>
    </w:p>
    <w:p>
      <w:pPr>
        <w:pageBreakBefore w:val="0"/>
        <w:kinsoku/>
        <w:wordWrap/>
        <w:overflowPunct/>
        <w:topLinePunct w:val="0"/>
        <w:bidi w:val="0"/>
        <w:spacing w:line="460" w:lineRule="exact"/>
        <w:ind w:firstLine="420" w:firstLineChars="200"/>
        <w:textAlignment w:val="auto"/>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联系电话：</w:t>
      </w:r>
      <w:r>
        <w:rPr>
          <w:rFonts w:hint="eastAsia" w:ascii="宋体" w:hAnsi="宋体" w:cs="宋体"/>
          <w:snapToGrid w:val="0"/>
          <w:color w:val="auto"/>
          <w:kern w:val="0"/>
          <w:sz w:val="21"/>
          <w:szCs w:val="21"/>
          <w:lang w:val="en-US" w:eastAsia="zh-CN" w:bidi="ar-SA"/>
        </w:rPr>
        <w:t>18523538434</w:t>
      </w:r>
    </w:p>
    <w:p>
      <w:pPr>
        <w:pageBreakBefore w:val="0"/>
        <w:widowControl w:val="0"/>
        <w:kinsoku/>
        <w:wordWrap/>
        <w:overflowPunct/>
        <w:topLinePunct w:val="0"/>
        <w:autoSpaceDE w:val="0"/>
        <w:autoSpaceDN w:val="0"/>
        <w:bidi w:val="0"/>
        <w:adjustRightInd w:val="0"/>
        <w:snapToGrid w:val="0"/>
        <w:spacing w:line="460" w:lineRule="exact"/>
        <w:ind w:firstLine="420" w:firstLineChars="200"/>
        <w:jc w:val="left"/>
        <w:textAlignment w:val="auto"/>
        <w:rPr>
          <w:rFonts w:hint="eastAsia" w:ascii="宋体" w:hAnsi="宋体" w:cs="MingLiU"/>
          <w:snapToGrid w:val="0"/>
          <w:color w:val="auto"/>
          <w:kern w:val="0"/>
          <w:sz w:val="21"/>
          <w:szCs w:val="21"/>
        </w:rPr>
      </w:pPr>
      <w:r>
        <w:rPr>
          <w:rFonts w:hint="eastAsia" w:ascii="宋体" w:hAnsi="宋体" w:cs="宋体"/>
          <w:color w:val="auto"/>
          <w:kern w:val="0"/>
          <w:sz w:val="21"/>
          <w:szCs w:val="21"/>
          <w:u w:val="none"/>
        </w:rPr>
        <w:t xml:space="preserve">                         </w:t>
      </w:r>
    </w:p>
    <w:p>
      <w:pPr>
        <w:pageBreakBefore w:val="0"/>
        <w:widowControl w:val="0"/>
        <w:kinsoku/>
        <w:wordWrap/>
        <w:overflowPunct/>
        <w:topLinePunct w:val="0"/>
        <w:autoSpaceDE w:val="0"/>
        <w:autoSpaceDN w:val="0"/>
        <w:bidi w:val="0"/>
        <w:adjustRightInd w:val="0"/>
        <w:snapToGrid w:val="0"/>
        <w:spacing w:line="460" w:lineRule="exact"/>
        <w:ind w:firstLine="7053" w:firstLineChars="3359"/>
        <w:jc w:val="left"/>
        <w:textAlignment w:val="auto"/>
        <w:rPr>
          <w:rFonts w:hint="eastAsia" w:ascii="宋体" w:hAnsi="宋体" w:cs="宋体"/>
          <w:b w:val="0"/>
          <w:bCs/>
          <w:color w:val="auto"/>
          <w:kern w:val="0"/>
          <w:szCs w:val="21"/>
        </w:rPr>
      </w:pPr>
      <w:r>
        <w:rPr>
          <w:rFonts w:hint="eastAsia" w:ascii="宋体" w:hAnsi="宋体" w:cs="MingLiU"/>
          <w:snapToGrid w:val="0"/>
          <w:color w:val="auto"/>
          <w:kern w:val="0"/>
          <w:sz w:val="21"/>
          <w:szCs w:val="21"/>
        </w:rPr>
        <w:t xml:space="preserve"> </w:t>
      </w:r>
      <w:r>
        <w:rPr>
          <w:rFonts w:hint="eastAsia" w:ascii="宋体" w:hAnsi="宋体" w:cs="宋体"/>
          <w:b w:val="0"/>
          <w:bCs/>
          <w:color w:val="auto"/>
          <w:kern w:val="0"/>
          <w:sz w:val="21"/>
          <w:szCs w:val="21"/>
        </w:rPr>
        <w:t xml:space="preserve"> </w:t>
      </w:r>
      <w:r>
        <w:rPr>
          <w:rFonts w:hint="eastAsia" w:ascii="宋体" w:hAnsi="宋体" w:cs="宋体"/>
          <w:b w:val="0"/>
          <w:bCs/>
          <w:color w:val="auto"/>
          <w:kern w:val="0"/>
          <w:sz w:val="21"/>
          <w:szCs w:val="21"/>
          <w:lang w:eastAsia="zh-CN"/>
        </w:rPr>
        <w:t>202</w:t>
      </w:r>
      <w:r>
        <w:rPr>
          <w:rFonts w:hint="eastAsia" w:ascii="宋体" w:hAnsi="宋体" w:cs="宋体"/>
          <w:b w:val="0"/>
          <w:bCs/>
          <w:color w:val="auto"/>
          <w:kern w:val="0"/>
          <w:sz w:val="21"/>
          <w:szCs w:val="21"/>
          <w:lang w:val="en-US" w:eastAsia="zh-CN"/>
        </w:rPr>
        <w:t>2</w:t>
      </w:r>
      <w:r>
        <w:rPr>
          <w:rFonts w:hint="eastAsia" w:ascii="宋体" w:hAnsi="宋体" w:cs="宋体"/>
          <w:b w:val="0"/>
          <w:bCs/>
          <w:color w:val="auto"/>
          <w:kern w:val="0"/>
          <w:sz w:val="21"/>
          <w:szCs w:val="21"/>
          <w:lang w:eastAsia="zh-CN"/>
        </w:rPr>
        <w:t>年</w:t>
      </w:r>
      <w:r>
        <w:rPr>
          <w:rFonts w:hint="eastAsia" w:ascii="宋体" w:hAnsi="宋体" w:cs="宋体"/>
          <w:b w:val="0"/>
          <w:bCs/>
          <w:color w:val="auto"/>
          <w:kern w:val="0"/>
          <w:sz w:val="21"/>
          <w:szCs w:val="21"/>
          <w:lang w:val="en-US" w:eastAsia="zh-CN"/>
        </w:rPr>
        <w:t>7月6日</w:t>
      </w:r>
    </w:p>
    <w:p>
      <w:pPr>
        <w:pageBreakBefore w:val="0"/>
        <w:widowControl w:val="0"/>
        <w:kinsoku/>
        <w:wordWrap/>
        <w:overflowPunct/>
        <w:topLinePunct w:val="0"/>
        <w:autoSpaceDE w:val="0"/>
        <w:autoSpaceDN w:val="0"/>
        <w:bidi w:val="0"/>
        <w:adjustRightInd w:val="0"/>
        <w:snapToGrid w:val="0"/>
        <w:spacing w:line="440" w:lineRule="exact"/>
        <w:ind w:firstLine="7053" w:firstLineChars="3359"/>
        <w:jc w:val="left"/>
        <w:textAlignment w:val="auto"/>
        <w:rPr>
          <w:rFonts w:hint="eastAsia" w:ascii="宋体" w:hAnsi="宋体" w:cs="宋体"/>
          <w:b w:val="0"/>
          <w:bCs/>
          <w:color w:val="auto"/>
          <w:kern w:val="0"/>
          <w:szCs w:val="21"/>
        </w:rPr>
      </w:pPr>
    </w:p>
    <w:p>
      <w:pPr>
        <w:pageBreakBefore w:val="0"/>
        <w:widowControl w:val="0"/>
        <w:kinsoku/>
        <w:wordWrap/>
        <w:overflowPunct/>
        <w:topLinePunct w:val="0"/>
        <w:autoSpaceDE w:val="0"/>
        <w:autoSpaceDN w:val="0"/>
        <w:bidi w:val="0"/>
        <w:adjustRightInd w:val="0"/>
        <w:snapToGrid w:val="0"/>
        <w:spacing w:line="440" w:lineRule="exact"/>
        <w:ind w:firstLine="7053" w:firstLineChars="3359"/>
        <w:jc w:val="left"/>
        <w:textAlignment w:val="auto"/>
        <w:rPr>
          <w:rFonts w:hint="eastAsia" w:ascii="宋体" w:hAnsi="宋体" w:cs="宋体"/>
          <w:b w:val="0"/>
          <w:bCs/>
          <w:color w:val="auto"/>
          <w:kern w:val="0"/>
          <w:szCs w:val="21"/>
        </w:rPr>
      </w:pPr>
    </w:p>
    <w:p>
      <w:pPr>
        <w:pageBreakBefore w:val="0"/>
        <w:widowControl w:val="0"/>
        <w:kinsoku/>
        <w:wordWrap/>
        <w:overflowPunct/>
        <w:topLinePunct w:val="0"/>
        <w:autoSpaceDE w:val="0"/>
        <w:autoSpaceDN w:val="0"/>
        <w:bidi w:val="0"/>
        <w:adjustRightInd w:val="0"/>
        <w:snapToGrid w:val="0"/>
        <w:spacing w:line="440" w:lineRule="exact"/>
        <w:ind w:firstLine="7053" w:firstLineChars="3359"/>
        <w:jc w:val="left"/>
        <w:textAlignment w:val="auto"/>
        <w:rPr>
          <w:rFonts w:hint="eastAsia" w:ascii="宋体" w:hAnsi="宋体" w:cs="宋体"/>
          <w:b w:val="0"/>
          <w:bCs/>
          <w:color w:val="auto"/>
          <w:kern w:val="0"/>
          <w:szCs w:val="21"/>
        </w:rPr>
      </w:pPr>
    </w:p>
    <w:p>
      <w:pPr>
        <w:pageBreakBefore w:val="0"/>
        <w:widowControl w:val="0"/>
        <w:kinsoku/>
        <w:wordWrap/>
        <w:overflowPunct/>
        <w:topLinePunct w:val="0"/>
        <w:autoSpaceDE w:val="0"/>
        <w:autoSpaceDN w:val="0"/>
        <w:bidi w:val="0"/>
        <w:adjustRightInd w:val="0"/>
        <w:snapToGrid w:val="0"/>
        <w:spacing w:line="440" w:lineRule="exact"/>
        <w:ind w:firstLine="7053" w:firstLineChars="3359"/>
        <w:jc w:val="left"/>
        <w:textAlignment w:val="auto"/>
        <w:rPr>
          <w:rFonts w:hint="eastAsia" w:ascii="宋体" w:hAnsi="宋体" w:cs="宋体"/>
          <w:b w:val="0"/>
          <w:bCs/>
          <w:color w:val="auto"/>
          <w:kern w:val="0"/>
          <w:szCs w:val="21"/>
        </w:rPr>
      </w:pPr>
    </w:p>
    <w:p>
      <w:pPr>
        <w:pageBreakBefore w:val="0"/>
        <w:widowControl w:val="0"/>
        <w:kinsoku/>
        <w:wordWrap/>
        <w:overflowPunct/>
        <w:topLinePunct w:val="0"/>
        <w:autoSpaceDE w:val="0"/>
        <w:autoSpaceDN w:val="0"/>
        <w:bidi w:val="0"/>
        <w:adjustRightInd w:val="0"/>
        <w:snapToGrid w:val="0"/>
        <w:spacing w:line="440" w:lineRule="exact"/>
        <w:ind w:firstLine="7053" w:firstLineChars="3359"/>
        <w:jc w:val="left"/>
        <w:textAlignment w:val="auto"/>
        <w:rPr>
          <w:rFonts w:hint="eastAsia" w:ascii="宋体" w:hAnsi="宋体" w:cs="宋体"/>
          <w:b w:val="0"/>
          <w:bCs/>
          <w:color w:val="auto"/>
          <w:kern w:val="0"/>
          <w:szCs w:val="21"/>
        </w:rPr>
      </w:pPr>
    </w:p>
    <w:p>
      <w:pPr>
        <w:pageBreakBefore w:val="0"/>
        <w:widowControl w:val="0"/>
        <w:kinsoku/>
        <w:wordWrap/>
        <w:overflowPunct/>
        <w:topLinePunct w:val="0"/>
        <w:autoSpaceDE w:val="0"/>
        <w:autoSpaceDN w:val="0"/>
        <w:bidi w:val="0"/>
        <w:adjustRightInd w:val="0"/>
        <w:snapToGrid w:val="0"/>
        <w:spacing w:line="440" w:lineRule="exact"/>
        <w:ind w:firstLine="7053" w:firstLineChars="3359"/>
        <w:jc w:val="left"/>
        <w:textAlignment w:val="auto"/>
        <w:rPr>
          <w:rFonts w:hint="eastAsia" w:ascii="宋体" w:hAnsi="宋体" w:cs="宋体"/>
          <w:b w:val="0"/>
          <w:bCs/>
          <w:color w:val="auto"/>
          <w:kern w:val="0"/>
          <w:szCs w:val="21"/>
        </w:rPr>
      </w:pPr>
    </w:p>
    <w:p>
      <w:pPr>
        <w:pageBreakBefore w:val="0"/>
        <w:widowControl w:val="0"/>
        <w:kinsoku/>
        <w:wordWrap/>
        <w:overflowPunct/>
        <w:topLinePunct w:val="0"/>
        <w:autoSpaceDE w:val="0"/>
        <w:autoSpaceDN w:val="0"/>
        <w:bidi w:val="0"/>
        <w:adjustRightInd w:val="0"/>
        <w:snapToGrid w:val="0"/>
        <w:spacing w:line="440" w:lineRule="exact"/>
        <w:ind w:firstLine="7053" w:firstLineChars="3359"/>
        <w:jc w:val="left"/>
        <w:textAlignment w:val="auto"/>
        <w:rPr>
          <w:rFonts w:hint="eastAsia" w:ascii="宋体" w:hAnsi="宋体" w:cs="宋体"/>
          <w:b w:val="0"/>
          <w:bCs/>
          <w:color w:val="auto"/>
          <w:kern w:val="0"/>
          <w:szCs w:val="21"/>
        </w:rPr>
      </w:pPr>
    </w:p>
    <w:p>
      <w:pPr>
        <w:pageBreakBefore w:val="0"/>
        <w:widowControl w:val="0"/>
        <w:kinsoku/>
        <w:wordWrap/>
        <w:overflowPunct/>
        <w:topLinePunct w:val="0"/>
        <w:autoSpaceDE w:val="0"/>
        <w:autoSpaceDN w:val="0"/>
        <w:bidi w:val="0"/>
        <w:adjustRightInd w:val="0"/>
        <w:snapToGrid w:val="0"/>
        <w:spacing w:line="440" w:lineRule="exact"/>
        <w:ind w:firstLine="7053" w:firstLineChars="3359"/>
        <w:jc w:val="left"/>
        <w:textAlignment w:val="auto"/>
        <w:rPr>
          <w:rFonts w:hint="eastAsia" w:ascii="宋体" w:hAnsi="宋体" w:cs="宋体"/>
          <w:b w:val="0"/>
          <w:bCs/>
          <w:color w:val="auto"/>
          <w:kern w:val="0"/>
          <w:szCs w:val="21"/>
        </w:rPr>
      </w:pPr>
    </w:p>
    <w:p>
      <w:pPr>
        <w:pageBreakBefore w:val="0"/>
        <w:widowControl w:val="0"/>
        <w:kinsoku/>
        <w:wordWrap/>
        <w:overflowPunct/>
        <w:topLinePunct w:val="0"/>
        <w:autoSpaceDE w:val="0"/>
        <w:autoSpaceDN w:val="0"/>
        <w:bidi w:val="0"/>
        <w:adjustRightInd w:val="0"/>
        <w:snapToGrid w:val="0"/>
        <w:spacing w:line="440" w:lineRule="exact"/>
        <w:ind w:firstLine="7053" w:firstLineChars="3359"/>
        <w:jc w:val="left"/>
        <w:textAlignment w:val="auto"/>
        <w:rPr>
          <w:rFonts w:hint="eastAsia" w:ascii="宋体" w:hAnsi="宋体" w:cs="宋体"/>
          <w:b w:val="0"/>
          <w:bCs/>
          <w:color w:val="auto"/>
          <w:kern w:val="0"/>
          <w:szCs w:val="21"/>
        </w:rPr>
      </w:pPr>
    </w:p>
    <w:p>
      <w:pPr>
        <w:pStyle w:val="3"/>
        <w:rPr>
          <w:rFonts w:hint="eastAsia" w:ascii="宋体" w:hAnsi="宋体" w:cs="宋体"/>
          <w:b w:val="0"/>
          <w:bCs/>
          <w:color w:val="auto"/>
          <w:kern w:val="0"/>
          <w:szCs w:val="21"/>
        </w:rPr>
      </w:pPr>
    </w:p>
    <w:p>
      <w:pPr>
        <w:pStyle w:val="4"/>
        <w:rPr>
          <w:rFonts w:hint="eastAsia" w:ascii="宋体" w:hAnsi="宋体" w:cs="宋体"/>
          <w:b w:val="0"/>
          <w:bCs/>
          <w:color w:val="auto"/>
          <w:kern w:val="0"/>
          <w:szCs w:val="21"/>
        </w:rPr>
      </w:pPr>
    </w:p>
    <w:p>
      <w:pPr>
        <w:rPr>
          <w:rFonts w:hint="eastAsia" w:ascii="宋体" w:hAnsi="宋体" w:cs="宋体"/>
          <w:b w:val="0"/>
          <w:bCs/>
          <w:color w:val="auto"/>
          <w:kern w:val="0"/>
          <w:szCs w:val="21"/>
        </w:rPr>
      </w:pPr>
    </w:p>
    <w:p>
      <w:pPr>
        <w:pStyle w:val="3"/>
        <w:rPr>
          <w:rFonts w:hint="eastAsia"/>
        </w:rPr>
      </w:pPr>
    </w:p>
    <w:p>
      <w:pPr>
        <w:pageBreakBefore w:val="0"/>
        <w:widowControl w:val="0"/>
        <w:kinsoku/>
        <w:wordWrap/>
        <w:overflowPunct/>
        <w:topLinePunct w:val="0"/>
        <w:autoSpaceDE w:val="0"/>
        <w:autoSpaceDN w:val="0"/>
        <w:bidi w:val="0"/>
        <w:adjustRightInd w:val="0"/>
        <w:snapToGrid w:val="0"/>
        <w:spacing w:line="440" w:lineRule="exact"/>
        <w:ind w:firstLine="7053" w:firstLineChars="3359"/>
        <w:jc w:val="left"/>
        <w:textAlignment w:val="auto"/>
        <w:rPr>
          <w:rFonts w:hint="eastAsia" w:ascii="宋体" w:hAnsi="宋体" w:cs="宋体"/>
          <w:b w:val="0"/>
          <w:bCs/>
          <w:color w:val="auto"/>
          <w:kern w:val="0"/>
          <w:szCs w:val="21"/>
        </w:rPr>
      </w:pPr>
    </w:p>
    <w:p>
      <w:pPr>
        <w:pageBreakBefore w:val="0"/>
        <w:widowControl w:val="0"/>
        <w:kinsoku/>
        <w:wordWrap/>
        <w:overflowPunct/>
        <w:topLinePunct w:val="0"/>
        <w:autoSpaceDE w:val="0"/>
        <w:autoSpaceDN w:val="0"/>
        <w:bidi w:val="0"/>
        <w:adjustRightInd w:val="0"/>
        <w:snapToGrid w:val="0"/>
        <w:spacing w:line="440" w:lineRule="exact"/>
        <w:ind w:firstLine="7053" w:firstLineChars="3359"/>
        <w:jc w:val="left"/>
        <w:textAlignment w:val="auto"/>
        <w:rPr>
          <w:rFonts w:hint="eastAsia" w:ascii="宋体" w:hAnsi="宋体" w:cs="宋体"/>
          <w:b w:val="0"/>
          <w:bCs/>
          <w:color w:val="auto"/>
          <w:kern w:val="0"/>
          <w:szCs w:val="21"/>
        </w:rPr>
      </w:pPr>
    </w:p>
    <w:p>
      <w:pPr>
        <w:pageBreakBefore w:val="0"/>
        <w:widowControl w:val="0"/>
        <w:kinsoku/>
        <w:wordWrap/>
        <w:overflowPunct/>
        <w:topLinePunct w:val="0"/>
        <w:autoSpaceDE w:val="0"/>
        <w:autoSpaceDN w:val="0"/>
        <w:bidi w:val="0"/>
        <w:adjustRightInd w:val="0"/>
        <w:snapToGrid w:val="0"/>
        <w:spacing w:line="440" w:lineRule="exact"/>
        <w:ind w:firstLine="7053" w:firstLineChars="3359"/>
        <w:jc w:val="left"/>
        <w:textAlignment w:val="auto"/>
        <w:rPr>
          <w:rFonts w:hint="eastAsia" w:ascii="宋体" w:hAnsi="宋体" w:cs="宋体"/>
          <w:b w:val="0"/>
          <w:bCs/>
          <w:color w:val="auto"/>
          <w:kern w:val="0"/>
          <w:szCs w:val="21"/>
        </w:rPr>
      </w:pPr>
    </w:p>
    <w:p>
      <w:pPr>
        <w:pageBreakBefore w:val="0"/>
        <w:widowControl w:val="0"/>
        <w:kinsoku/>
        <w:wordWrap/>
        <w:overflowPunct/>
        <w:topLinePunct w:val="0"/>
        <w:autoSpaceDE w:val="0"/>
        <w:autoSpaceDN w:val="0"/>
        <w:bidi w:val="0"/>
        <w:adjustRightInd w:val="0"/>
        <w:snapToGrid w:val="0"/>
        <w:spacing w:line="440" w:lineRule="exact"/>
        <w:jc w:val="left"/>
        <w:textAlignment w:val="auto"/>
        <w:rPr>
          <w:rFonts w:hint="eastAsia" w:ascii="宋体" w:hAnsi="宋体" w:cs="宋体"/>
          <w:b w:val="0"/>
          <w:bCs/>
          <w:color w:val="auto"/>
          <w:kern w:val="0"/>
          <w:szCs w:val="21"/>
        </w:rPr>
      </w:pPr>
    </w:p>
    <w:p>
      <w:pPr>
        <w:pageBreakBefore w:val="0"/>
        <w:widowControl w:val="0"/>
        <w:kinsoku/>
        <w:wordWrap/>
        <w:overflowPunct/>
        <w:topLinePunct w:val="0"/>
        <w:autoSpaceDE w:val="0"/>
        <w:autoSpaceDN w:val="0"/>
        <w:bidi w:val="0"/>
        <w:adjustRightInd w:val="0"/>
        <w:snapToGrid w:val="0"/>
        <w:spacing w:line="440" w:lineRule="exact"/>
        <w:jc w:val="left"/>
        <w:textAlignment w:val="auto"/>
        <w:rPr>
          <w:rFonts w:hint="eastAsia" w:ascii="宋体" w:hAnsi="宋体" w:cs="宋体"/>
          <w:b w:val="0"/>
          <w:bCs/>
          <w:color w:val="auto"/>
          <w:kern w:val="0"/>
          <w:szCs w:val="21"/>
        </w:rPr>
      </w:pPr>
    </w:p>
    <w:p>
      <w:pPr>
        <w:pageBreakBefore w:val="0"/>
        <w:widowControl w:val="0"/>
        <w:kinsoku/>
        <w:wordWrap/>
        <w:overflowPunct/>
        <w:topLinePunct w:val="0"/>
        <w:autoSpaceDE w:val="0"/>
        <w:autoSpaceDN w:val="0"/>
        <w:bidi w:val="0"/>
        <w:adjustRightInd w:val="0"/>
        <w:snapToGrid w:val="0"/>
        <w:spacing w:line="440" w:lineRule="exact"/>
        <w:jc w:val="left"/>
        <w:textAlignment w:val="auto"/>
        <w:rPr>
          <w:rFonts w:hint="eastAsia" w:ascii="宋体" w:hAnsi="宋体" w:cs="宋体"/>
          <w:b w:val="0"/>
          <w:bCs/>
          <w:color w:val="auto"/>
          <w:kern w:val="0"/>
          <w:szCs w:val="21"/>
        </w:rPr>
      </w:pPr>
    </w:p>
    <w:p>
      <w:pPr>
        <w:pageBreakBefore w:val="0"/>
        <w:widowControl w:val="0"/>
        <w:kinsoku/>
        <w:wordWrap/>
        <w:overflowPunct/>
        <w:topLinePunct w:val="0"/>
        <w:autoSpaceDE w:val="0"/>
        <w:autoSpaceDN w:val="0"/>
        <w:bidi w:val="0"/>
        <w:adjustRightInd w:val="0"/>
        <w:snapToGrid w:val="0"/>
        <w:spacing w:line="440" w:lineRule="exact"/>
        <w:ind w:firstLine="7053" w:firstLineChars="3359"/>
        <w:jc w:val="left"/>
        <w:textAlignment w:val="auto"/>
        <w:rPr>
          <w:rFonts w:hint="eastAsia" w:ascii="宋体" w:hAnsi="宋体" w:cs="宋体"/>
          <w:b w:val="0"/>
          <w:bCs/>
          <w:color w:val="auto"/>
          <w:kern w:val="0"/>
          <w:szCs w:val="21"/>
        </w:rPr>
      </w:pPr>
    </w:p>
    <w:p>
      <w:pPr>
        <w:pStyle w:val="5"/>
        <w:pageBreakBefore w:val="0"/>
        <w:kinsoku/>
        <w:wordWrap/>
        <w:overflowPunct/>
        <w:topLinePunct w:val="0"/>
        <w:bidi w:val="0"/>
        <w:spacing w:before="0" w:beforeLines="0" w:after="0" w:afterLines="0" w:line="400" w:lineRule="exact"/>
        <w:jc w:val="center"/>
        <w:textAlignment w:val="auto"/>
        <w:rPr>
          <w:rFonts w:hint="eastAsia" w:ascii="宋体" w:hAnsi="宋体" w:eastAsia="宋体" w:cs="宋体"/>
          <w:color w:val="auto"/>
          <w:kern w:val="0"/>
          <w:sz w:val="36"/>
          <w:szCs w:val="36"/>
        </w:rPr>
      </w:pPr>
      <w:bookmarkStart w:id="24" w:name="_Toc513492488"/>
      <w:bookmarkStart w:id="25" w:name="_Toc452058680"/>
      <w:r>
        <w:rPr>
          <w:rFonts w:hint="eastAsia" w:ascii="宋体" w:hAnsi="宋体" w:eastAsia="宋体" w:cs="宋体"/>
          <w:color w:val="auto"/>
          <w:kern w:val="0"/>
          <w:sz w:val="36"/>
          <w:szCs w:val="36"/>
        </w:rPr>
        <w:t>第二章  投标人须知</w:t>
      </w:r>
      <w:bookmarkEnd w:id="19"/>
      <w:bookmarkEnd w:id="20"/>
      <w:bookmarkEnd w:id="21"/>
      <w:bookmarkEnd w:id="22"/>
      <w:bookmarkEnd w:id="23"/>
      <w:bookmarkEnd w:id="24"/>
      <w:bookmarkEnd w:id="25"/>
    </w:p>
    <w:p>
      <w:pPr>
        <w:pStyle w:val="6"/>
        <w:pageBreakBefore w:val="0"/>
        <w:kinsoku/>
        <w:wordWrap/>
        <w:overflowPunct/>
        <w:topLinePunct w:val="0"/>
        <w:bidi w:val="0"/>
        <w:spacing w:before="0" w:beforeLines="0" w:after="0" w:afterLines="0" w:line="400" w:lineRule="exact"/>
        <w:textAlignment w:val="auto"/>
        <w:rPr>
          <w:rFonts w:hint="eastAsia" w:ascii="宋体" w:hAnsi="宋体" w:eastAsia="宋体" w:cs="宋体"/>
          <w:color w:val="auto"/>
          <w:sz w:val="28"/>
          <w:szCs w:val="28"/>
        </w:rPr>
      </w:pPr>
      <w:bookmarkStart w:id="26" w:name="_Toc5936"/>
      <w:bookmarkStart w:id="27" w:name="_Toc386029645"/>
      <w:bookmarkStart w:id="28" w:name="_Toc224103316"/>
      <w:bookmarkStart w:id="29" w:name="_Toc277082551"/>
      <w:bookmarkStart w:id="30" w:name="_Toc658"/>
      <w:bookmarkStart w:id="31" w:name="_Toc452058681"/>
      <w:bookmarkStart w:id="32" w:name="_Toc287607745"/>
      <w:bookmarkStart w:id="33" w:name="_Toc18480"/>
      <w:r>
        <w:rPr>
          <w:rFonts w:hint="eastAsia" w:ascii="宋体" w:hAnsi="宋体" w:eastAsia="宋体" w:cs="宋体"/>
          <w:color w:val="auto"/>
          <w:sz w:val="28"/>
          <w:szCs w:val="28"/>
        </w:rPr>
        <w:t>投标人须知前附表</w:t>
      </w:r>
      <w:bookmarkEnd w:id="26"/>
      <w:bookmarkEnd w:id="27"/>
      <w:bookmarkEnd w:id="28"/>
      <w:bookmarkEnd w:id="29"/>
      <w:bookmarkEnd w:id="30"/>
      <w:bookmarkEnd w:id="31"/>
      <w:bookmarkEnd w:id="32"/>
      <w:bookmarkEnd w:id="33"/>
    </w:p>
    <w:tbl>
      <w:tblPr>
        <w:tblStyle w:val="53"/>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500"/>
        <w:gridCol w:w="7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blHeader/>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条 款 号</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条款名称</w:t>
            </w:r>
          </w:p>
        </w:tc>
        <w:tc>
          <w:tcPr>
            <w:tcW w:w="7189"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1.1.2</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比选人</w:t>
            </w:r>
          </w:p>
        </w:tc>
        <w:tc>
          <w:tcPr>
            <w:tcW w:w="7189" w:type="dxa"/>
            <w:noWrap w:val="0"/>
            <w:vAlign w:val="center"/>
          </w:tcPr>
          <w:p>
            <w:pPr>
              <w:pStyle w:val="4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60" w:lineRule="exact"/>
              <w:ind w:right="0"/>
              <w:jc w:val="left"/>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比选人：</w:t>
            </w:r>
            <w:r>
              <w:rPr>
                <w:rFonts w:hint="eastAsia" w:cs="宋体"/>
                <w:snapToGrid w:val="0"/>
                <w:color w:val="auto"/>
                <w:kern w:val="0"/>
                <w:sz w:val="21"/>
                <w:szCs w:val="21"/>
                <w:lang w:val="en-US" w:eastAsia="zh-CN" w:bidi="ar-SA"/>
              </w:rPr>
              <w:t>重庆安居古城华夏文化旅游发展有限公司</w:t>
            </w:r>
          </w:p>
          <w:p>
            <w:pPr>
              <w:pStyle w:val="4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60" w:lineRule="exact"/>
              <w:ind w:right="0"/>
              <w:jc w:val="left"/>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地址：重庆市铜梁区中兴路45号</w:t>
            </w:r>
          </w:p>
          <w:p>
            <w:pPr>
              <w:pStyle w:val="4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60" w:lineRule="exact"/>
              <w:ind w:right="0"/>
              <w:jc w:val="left"/>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联系人：</w:t>
            </w:r>
            <w:r>
              <w:rPr>
                <w:rFonts w:hint="eastAsia" w:cs="宋体"/>
                <w:snapToGrid w:val="0"/>
                <w:color w:val="auto"/>
                <w:kern w:val="0"/>
                <w:sz w:val="21"/>
                <w:szCs w:val="21"/>
                <w:lang w:val="en-US" w:eastAsia="zh-CN" w:bidi="ar-SA"/>
              </w:rPr>
              <w:t>于</w:t>
            </w:r>
            <w:r>
              <w:rPr>
                <w:rFonts w:hint="eastAsia" w:ascii="宋体" w:hAnsi="宋体" w:eastAsia="宋体" w:cs="宋体"/>
                <w:snapToGrid w:val="0"/>
                <w:color w:val="auto"/>
                <w:kern w:val="0"/>
                <w:sz w:val="21"/>
                <w:szCs w:val="21"/>
                <w:lang w:val="en-US" w:eastAsia="zh-CN" w:bidi="ar-SA"/>
              </w:rPr>
              <w:t>老师</w:t>
            </w:r>
          </w:p>
          <w:p>
            <w:pPr>
              <w:pStyle w:val="4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60" w:lineRule="exact"/>
              <w:ind w:right="0"/>
              <w:jc w:val="left"/>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bidi="ar-SA"/>
              </w:rPr>
              <w:t>联系电话：</w:t>
            </w:r>
            <w:r>
              <w:rPr>
                <w:rFonts w:hint="eastAsia" w:cs="宋体"/>
                <w:snapToGrid w:val="0"/>
                <w:color w:val="auto"/>
                <w:kern w:val="0"/>
                <w:sz w:val="21"/>
                <w:szCs w:val="21"/>
                <w:lang w:val="en-US" w:eastAsia="zh-CN" w:bidi="ar-SA"/>
              </w:rPr>
              <w:t>17783939610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1.1.3</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比选代理机构</w:t>
            </w:r>
          </w:p>
        </w:tc>
        <w:tc>
          <w:tcPr>
            <w:tcW w:w="7189" w:type="dxa"/>
            <w:noWrap w:val="0"/>
            <w:vAlign w:val="center"/>
          </w:tcPr>
          <w:p>
            <w:pPr>
              <w:pStyle w:val="4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60" w:lineRule="exact"/>
              <w:ind w:right="0"/>
              <w:jc w:val="left"/>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比选代理机构</w:t>
            </w:r>
            <w:r>
              <w:rPr>
                <w:rFonts w:hint="eastAsia" w:eastAsia="宋体" w:cs="宋体"/>
                <w:snapToGrid w:val="0"/>
                <w:color w:val="auto"/>
                <w:kern w:val="0"/>
                <w:sz w:val="21"/>
                <w:szCs w:val="21"/>
                <w:lang w:val="en-US" w:eastAsia="zh-CN" w:bidi="ar-SA"/>
              </w:rPr>
              <w:t>：</w:t>
            </w:r>
            <w:r>
              <w:rPr>
                <w:rFonts w:hint="eastAsia" w:ascii="宋体" w:hAnsi="宋体" w:eastAsia="宋体" w:cs="宋体"/>
                <w:snapToGrid w:val="0"/>
                <w:color w:val="auto"/>
                <w:kern w:val="0"/>
                <w:sz w:val="21"/>
                <w:szCs w:val="21"/>
                <w:lang w:val="en-US" w:eastAsia="zh-CN" w:bidi="ar-SA"/>
              </w:rPr>
              <w:t xml:space="preserve"> </w:t>
            </w:r>
            <w:r>
              <w:rPr>
                <w:rFonts w:hint="eastAsia" w:cs="宋体"/>
                <w:snapToGrid w:val="0"/>
                <w:color w:val="auto"/>
                <w:kern w:val="0"/>
                <w:sz w:val="21"/>
                <w:szCs w:val="21"/>
                <w:lang w:val="en-US" w:eastAsia="zh-CN" w:bidi="ar-SA"/>
              </w:rPr>
              <w:t>重庆共赢工程项目管理咨询有限公司</w:t>
            </w:r>
          </w:p>
          <w:p>
            <w:pPr>
              <w:pStyle w:val="4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60" w:lineRule="exact"/>
              <w:ind w:right="0"/>
              <w:jc w:val="left"/>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地  址</w:t>
            </w:r>
            <w:r>
              <w:rPr>
                <w:rFonts w:hint="eastAsia" w:eastAsia="宋体" w:cs="宋体"/>
                <w:snapToGrid w:val="0"/>
                <w:color w:val="auto"/>
                <w:kern w:val="0"/>
                <w:sz w:val="21"/>
                <w:szCs w:val="21"/>
                <w:lang w:val="en-US" w:eastAsia="zh-CN" w:bidi="ar-SA"/>
              </w:rPr>
              <w:t>：</w:t>
            </w:r>
            <w:r>
              <w:rPr>
                <w:rFonts w:hint="eastAsia" w:cs="宋体"/>
                <w:snapToGrid w:val="0"/>
                <w:color w:val="auto"/>
                <w:kern w:val="0"/>
                <w:sz w:val="21"/>
                <w:szCs w:val="21"/>
                <w:lang w:val="en-US" w:eastAsia="zh-CN" w:bidi="ar-SA"/>
              </w:rPr>
              <w:t>重庆市铜梁区凤翔路</w:t>
            </w:r>
          </w:p>
          <w:p>
            <w:pPr>
              <w:pStyle w:val="4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60" w:lineRule="exact"/>
              <w:ind w:right="0"/>
              <w:jc w:val="left"/>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联系人</w:t>
            </w:r>
            <w:r>
              <w:rPr>
                <w:rFonts w:hint="eastAsia" w:eastAsia="宋体" w:cs="宋体"/>
                <w:snapToGrid w:val="0"/>
                <w:color w:val="auto"/>
                <w:kern w:val="0"/>
                <w:sz w:val="21"/>
                <w:szCs w:val="21"/>
                <w:lang w:val="en-US" w:eastAsia="zh-CN" w:bidi="ar-SA"/>
              </w:rPr>
              <w:t>：</w:t>
            </w:r>
            <w:r>
              <w:rPr>
                <w:rFonts w:hint="eastAsia" w:cs="宋体"/>
                <w:snapToGrid w:val="0"/>
                <w:color w:val="auto"/>
                <w:kern w:val="0"/>
                <w:sz w:val="21"/>
                <w:szCs w:val="21"/>
                <w:lang w:val="en-US" w:eastAsia="zh-CN" w:bidi="ar-SA"/>
              </w:rPr>
              <w:t>陈</w:t>
            </w:r>
            <w:r>
              <w:rPr>
                <w:rFonts w:hint="eastAsia" w:ascii="宋体" w:hAnsi="宋体" w:eastAsia="宋体" w:cs="宋体"/>
                <w:snapToGrid w:val="0"/>
                <w:color w:val="auto"/>
                <w:kern w:val="0"/>
                <w:sz w:val="21"/>
                <w:szCs w:val="21"/>
                <w:lang w:val="en-US" w:eastAsia="zh-CN" w:bidi="ar-SA"/>
              </w:rPr>
              <w:t>老师</w:t>
            </w:r>
          </w:p>
          <w:p>
            <w:pPr>
              <w:pStyle w:val="4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60" w:lineRule="exact"/>
              <w:ind w:right="0"/>
              <w:jc w:val="left"/>
              <w:textAlignment w:val="auto"/>
              <w:rPr>
                <w:rFonts w:hint="eastAsia" w:ascii="宋体" w:hAnsi="宋体" w:eastAsia="宋体" w:cs="宋体"/>
                <w:color w:val="auto"/>
                <w:kern w:val="0"/>
                <w:sz w:val="21"/>
                <w:szCs w:val="21"/>
                <w:lang w:val="en-US"/>
              </w:rPr>
            </w:pPr>
            <w:r>
              <w:rPr>
                <w:rFonts w:hint="eastAsia" w:ascii="宋体" w:hAnsi="宋体" w:eastAsia="宋体" w:cs="宋体"/>
                <w:snapToGrid w:val="0"/>
                <w:color w:val="auto"/>
                <w:kern w:val="0"/>
                <w:sz w:val="21"/>
                <w:szCs w:val="21"/>
                <w:lang w:val="en-US" w:eastAsia="zh-CN" w:bidi="ar-SA"/>
              </w:rPr>
              <w:t>联系电话：</w:t>
            </w:r>
            <w:r>
              <w:rPr>
                <w:rFonts w:hint="eastAsia" w:cs="宋体"/>
                <w:snapToGrid w:val="0"/>
                <w:color w:val="auto"/>
                <w:kern w:val="0"/>
                <w:sz w:val="21"/>
                <w:szCs w:val="21"/>
                <w:lang w:val="en-US" w:eastAsia="zh-CN" w:bidi="ar-SA"/>
              </w:rPr>
              <w:t>18523538434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1.1.4</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项目名称</w:t>
            </w:r>
          </w:p>
        </w:tc>
        <w:tc>
          <w:tcPr>
            <w:tcW w:w="7189" w:type="dxa"/>
            <w:noWrap w:val="0"/>
            <w:vAlign w:val="center"/>
          </w:tcPr>
          <w:p>
            <w:pPr>
              <w:keepNext w:val="0"/>
              <w:keepLines w:val="0"/>
              <w:pageBreakBefore w:val="0"/>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kern w:val="0"/>
                <w:sz w:val="21"/>
                <w:szCs w:val="21"/>
                <w:lang w:eastAsia="zh-CN"/>
              </w:rPr>
            </w:pPr>
            <w:r>
              <w:rPr>
                <w:rFonts w:hint="eastAsia" w:ascii="宋体" w:hAnsi="宋体" w:cs="宋体"/>
                <w:snapToGrid w:val="0"/>
                <w:color w:val="auto"/>
                <w:kern w:val="0"/>
                <w:sz w:val="21"/>
                <w:szCs w:val="21"/>
                <w:lang w:eastAsia="zh-CN"/>
              </w:rPr>
              <w:t>安居古城书香文化街（配套部分）项目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1.1.5</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建设地点</w:t>
            </w:r>
          </w:p>
        </w:tc>
        <w:tc>
          <w:tcPr>
            <w:tcW w:w="7189" w:type="dxa"/>
            <w:noWrap w:val="0"/>
            <w:vAlign w:val="center"/>
          </w:tcPr>
          <w:p>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安居古城书香文化街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1.2.1</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资金来源</w:t>
            </w:r>
          </w:p>
        </w:tc>
        <w:tc>
          <w:tcPr>
            <w:tcW w:w="7189"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业主自筹资金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1.2.2</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出资比例</w:t>
            </w:r>
          </w:p>
        </w:tc>
        <w:tc>
          <w:tcPr>
            <w:tcW w:w="7189"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1.2.3</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资金落</w:t>
            </w: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实情况</w:t>
            </w:r>
          </w:p>
        </w:tc>
        <w:tc>
          <w:tcPr>
            <w:tcW w:w="7189"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1.3.1</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比选范围</w:t>
            </w:r>
          </w:p>
        </w:tc>
        <w:tc>
          <w:tcPr>
            <w:tcW w:w="718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安居古城书香文化街（配套部分）项目施工图及工程量清单所示范围。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1.3.2</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计划工期</w:t>
            </w:r>
          </w:p>
        </w:tc>
        <w:tc>
          <w:tcPr>
            <w:tcW w:w="7189" w:type="dxa"/>
            <w:noWrap w:val="0"/>
            <w:vAlign w:val="center"/>
          </w:tcPr>
          <w:p>
            <w:pPr>
              <w:keepNext w:val="0"/>
              <w:keepLines w:val="0"/>
              <w:pageBreakBefore w:val="0"/>
              <w:kinsoku/>
              <w:wordWrap/>
              <w:overflowPunct/>
              <w:topLinePunct w:val="0"/>
              <w:autoSpaceDE/>
              <w:autoSpaceDN/>
              <w:bidi w:val="0"/>
              <w:adjustRightInd/>
              <w:snapToGrid w:val="0"/>
              <w:spacing w:line="460" w:lineRule="exact"/>
              <w:ind w:firstLine="420" w:firstLineChars="200"/>
              <w:jc w:val="left"/>
              <w:textAlignment w:val="auto"/>
              <w:rPr>
                <w:rFonts w:hint="eastAsia" w:ascii="宋体" w:hAnsi="宋体" w:eastAsia="宋体" w:cs="宋体"/>
                <w:color w:val="auto"/>
                <w:kern w:val="0"/>
                <w:sz w:val="21"/>
                <w:szCs w:val="21"/>
                <w:u w:val="none"/>
              </w:rPr>
            </w:pPr>
            <w:r>
              <w:rPr>
                <w:rFonts w:hint="eastAsia" w:ascii="宋体" w:hAnsi="宋体" w:cs="宋体"/>
                <w:color w:val="auto"/>
                <w:kern w:val="0"/>
                <w:sz w:val="21"/>
                <w:szCs w:val="21"/>
                <w:u w:val="none"/>
                <w:lang w:val="en-US" w:eastAsia="zh-CN"/>
              </w:rPr>
              <w:t>60日历天</w:t>
            </w:r>
            <w:r>
              <w:rPr>
                <w:rFonts w:hint="eastAsia" w:ascii="宋体" w:hAnsi="宋体" w:eastAsia="宋体" w:cs="宋体"/>
                <w:color w:val="auto"/>
                <w:kern w:val="0"/>
                <w:sz w:val="21"/>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1.3.3</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质量要求</w:t>
            </w:r>
          </w:p>
        </w:tc>
        <w:tc>
          <w:tcPr>
            <w:tcW w:w="7189" w:type="dxa"/>
            <w:noWrap w:val="0"/>
            <w:vAlign w:val="center"/>
          </w:tcPr>
          <w:p>
            <w:pPr>
              <w:keepNext w:val="0"/>
              <w:keepLines w:val="0"/>
              <w:pageBreakBefore w:val="0"/>
              <w:kinsoku/>
              <w:wordWrap/>
              <w:overflowPunct/>
              <w:topLinePunct w:val="0"/>
              <w:autoSpaceDE/>
              <w:autoSpaceDN/>
              <w:bidi w:val="0"/>
              <w:adjustRightInd/>
              <w:snapToGrid w:val="0"/>
              <w:spacing w:line="4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达到国家现行有关施工质量验收规范要求，并达到合格标准。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1.4.1</w:t>
            </w: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投标人资质条件、能力和信誉</w:t>
            </w: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tc>
        <w:tc>
          <w:tcPr>
            <w:tcW w:w="718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420" w:firstLineChars="200"/>
              <w:textAlignment w:val="auto"/>
              <w:rPr>
                <w:rFonts w:ascii="宋体" w:hAnsi="宋体"/>
                <w:szCs w:val="21"/>
                <w:highlight w:val="none"/>
              </w:rPr>
            </w:pPr>
            <w:bookmarkStart w:id="34" w:name="OLE_LINK1"/>
            <w:r>
              <w:rPr>
                <w:rFonts w:ascii="宋体" w:hAnsi="宋体"/>
                <w:szCs w:val="21"/>
                <w:highlight w:val="none"/>
              </w:rPr>
              <w:t>本工程施工招标实行资格后审，投标人应</w:t>
            </w:r>
            <w:bookmarkStart w:id="35" w:name="一是"/>
            <w:bookmarkEnd w:id="35"/>
            <w:r>
              <w:rPr>
                <w:rFonts w:ascii="宋体" w:hAnsi="宋体"/>
                <w:szCs w:val="21"/>
                <w:highlight w:val="none"/>
              </w:rPr>
              <w:t>具备以下资格条件：</w:t>
            </w:r>
          </w:p>
          <w:bookmarkEnd w:id="34"/>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422" w:firstLineChars="200"/>
              <w:textAlignment w:val="auto"/>
              <w:rPr>
                <w:rFonts w:ascii="宋体" w:hAnsi="宋体"/>
                <w:b/>
                <w:szCs w:val="21"/>
                <w:highlight w:val="none"/>
              </w:rPr>
            </w:pPr>
            <w:r>
              <w:rPr>
                <w:rFonts w:ascii="宋体" w:hAnsi="宋体"/>
                <w:b/>
                <w:szCs w:val="21"/>
                <w:highlight w:val="none"/>
              </w:rPr>
              <w:t>1.资质条件、营业执照及安全生产条件</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420" w:firstLineChars="200"/>
              <w:textAlignment w:val="auto"/>
              <w:rPr>
                <w:rFonts w:ascii="宋体" w:hAnsi="宋体"/>
                <w:szCs w:val="21"/>
                <w:highlight w:val="none"/>
              </w:rPr>
            </w:pPr>
            <w:r>
              <w:rPr>
                <w:rFonts w:ascii="宋体" w:hAnsi="宋体"/>
                <w:szCs w:val="21"/>
                <w:highlight w:val="none"/>
              </w:rPr>
              <w:t>（1）具备建设行政主管部门颁发的有效的</w:t>
            </w:r>
            <w:r>
              <w:rPr>
                <w:rFonts w:hint="eastAsia" w:ascii="宋体" w:hAnsi="宋体" w:cs="宋体"/>
                <w:spacing w:val="-5"/>
                <w:highlight w:val="none"/>
                <w:u w:val="single"/>
                <w:lang w:val="en-US" w:eastAsia="zh-CN"/>
              </w:rPr>
              <w:t>建筑装修装饰工程专业承包二</w:t>
            </w:r>
            <w:r>
              <w:rPr>
                <w:rFonts w:hint="eastAsia" w:ascii="宋体" w:hAnsi="宋体" w:cs="宋体"/>
                <w:spacing w:val="-5"/>
                <w:highlight w:val="none"/>
                <w:u w:val="single"/>
              </w:rPr>
              <w:t>级</w:t>
            </w:r>
            <w:r>
              <w:rPr>
                <w:rFonts w:hint="eastAsia" w:ascii="宋体" w:hAnsi="宋体" w:cs="宋体"/>
                <w:highlight w:val="none"/>
                <w:u w:val="single"/>
              </w:rPr>
              <w:t>及以上资质</w:t>
            </w:r>
            <w:r>
              <w:rPr>
                <w:rFonts w:ascii="宋体" w:hAnsi="宋体"/>
                <w:szCs w:val="21"/>
                <w:highlight w:val="none"/>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420" w:firstLineChars="200"/>
              <w:textAlignment w:val="auto"/>
              <w:rPr>
                <w:rFonts w:ascii="宋体" w:hAnsi="宋体"/>
                <w:szCs w:val="21"/>
                <w:highlight w:val="none"/>
              </w:rPr>
            </w:pPr>
            <w:r>
              <w:rPr>
                <w:rFonts w:hint="eastAsia" w:ascii="宋体" w:hAnsi="宋体"/>
                <w:szCs w:val="21"/>
                <w:highlight w:val="none"/>
              </w:rPr>
              <w:t>投标人</w:t>
            </w:r>
            <w:r>
              <w:rPr>
                <w:rFonts w:ascii="宋体" w:hAnsi="宋体"/>
                <w:szCs w:val="21"/>
                <w:highlight w:val="none"/>
              </w:rPr>
              <w:t>须</w:t>
            </w:r>
            <w:r>
              <w:rPr>
                <w:rFonts w:hint="eastAsia" w:ascii="宋体" w:hAnsi="宋体"/>
                <w:szCs w:val="21"/>
                <w:highlight w:val="none"/>
              </w:rPr>
              <w:t>在投标文件资格审查部分</w:t>
            </w:r>
            <w:r>
              <w:rPr>
                <w:rFonts w:ascii="宋体" w:hAnsi="宋体"/>
                <w:szCs w:val="21"/>
                <w:highlight w:val="none"/>
              </w:rPr>
              <w:t>提供</w:t>
            </w:r>
            <w:r>
              <w:rPr>
                <w:rFonts w:hint="eastAsia" w:ascii="宋体" w:hAnsi="宋体"/>
                <w:szCs w:val="21"/>
                <w:highlight w:val="none"/>
              </w:rPr>
              <w:t>有效的资质证书</w:t>
            </w:r>
            <w:r>
              <w:rPr>
                <w:rFonts w:ascii="宋体" w:hAnsi="宋体"/>
                <w:szCs w:val="21"/>
                <w:highlight w:val="none"/>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420" w:firstLineChars="200"/>
              <w:textAlignment w:val="auto"/>
              <w:rPr>
                <w:rFonts w:ascii="宋体" w:hAnsi="宋体"/>
                <w:szCs w:val="21"/>
                <w:highlight w:val="none"/>
              </w:rPr>
            </w:pPr>
            <w:r>
              <w:rPr>
                <w:rFonts w:ascii="宋体" w:hAnsi="宋体"/>
                <w:szCs w:val="21"/>
                <w:highlight w:val="none"/>
              </w:rPr>
              <w:t>（2）具备有效的营业执照。</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420" w:firstLineChars="200"/>
              <w:textAlignment w:val="auto"/>
              <w:rPr>
                <w:rFonts w:ascii="宋体" w:hAnsi="宋体"/>
                <w:szCs w:val="21"/>
                <w:highlight w:val="none"/>
              </w:rPr>
            </w:pPr>
            <w:r>
              <w:rPr>
                <w:rFonts w:hint="eastAsia" w:ascii="宋体" w:hAnsi="宋体"/>
                <w:szCs w:val="21"/>
                <w:highlight w:val="none"/>
              </w:rPr>
              <w:t>投标人</w:t>
            </w:r>
            <w:r>
              <w:rPr>
                <w:rFonts w:ascii="宋体" w:hAnsi="宋体"/>
                <w:szCs w:val="21"/>
                <w:highlight w:val="none"/>
              </w:rPr>
              <w:t>须</w:t>
            </w:r>
            <w:r>
              <w:rPr>
                <w:rFonts w:hint="eastAsia" w:ascii="宋体" w:hAnsi="宋体"/>
                <w:szCs w:val="21"/>
                <w:highlight w:val="none"/>
              </w:rPr>
              <w:t>在投标文件资格审查部分</w:t>
            </w:r>
            <w:r>
              <w:rPr>
                <w:rFonts w:ascii="宋体" w:hAnsi="宋体"/>
                <w:szCs w:val="21"/>
                <w:highlight w:val="none"/>
              </w:rPr>
              <w:t>提供有效的营业执照。</w:t>
            </w:r>
            <w:r>
              <w:rPr>
                <w:rFonts w:hint="eastAsia" w:ascii="宋体" w:hAnsi="宋体"/>
                <w:szCs w:val="21"/>
                <w:highlight w:val="none"/>
              </w:rPr>
              <w:t>注：不得将投标人营业执照记载的经营范围作为评审因素。</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420" w:firstLineChars="200"/>
              <w:textAlignment w:val="auto"/>
              <w:rPr>
                <w:rFonts w:ascii="宋体" w:hAnsi="宋体"/>
                <w:szCs w:val="21"/>
                <w:highlight w:val="none"/>
              </w:rPr>
            </w:pPr>
            <w:r>
              <w:rPr>
                <w:rFonts w:ascii="宋体" w:hAnsi="宋体"/>
                <w:szCs w:val="21"/>
                <w:highlight w:val="none"/>
              </w:rPr>
              <w:t>（3）具备建设行政主管部门颁发的有效的安全生产许可证，企业</w:t>
            </w:r>
            <w:r>
              <w:rPr>
                <w:rFonts w:hint="eastAsia" w:ascii="宋体" w:hAnsi="宋体"/>
                <w:szCs w:val="21"/>
                <w:highlight w:val="none"/>
              </w:rPr>
              <w:t>主要</w:t>
            </w:r>
            <w:r>
              <w:rPr>
                <w:rFonts w:ascii="宋体" w:hAnsi="宋体"/>
                <w:szCs w:val="21"/>
                <w:highlight w:val="none"/>
              </w:rPr>
              <w:t>负责人、拟担任该项目项目经理具备相应的由建设行政主管部门颁发的有效的安全生产考核合格证书</w:t>
            </w:r>
            <w:r>
              <w:rPr>
                <w:rFonts w:hint="eastAsia" w:ascii="宋体" w:hAnsi="宋体"/>
                <w:szCs w:val="21"/>
                <w:highlight w:val="none"/>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420" w:firstLineChars="200"/>
              <w:textAlignment w:val="auto"/>
              <w:rPr>
                <w:rFonts w:ascii="宋体" w:hAnsi="宋体"/>
                <w:szCs w:val="21"/>
                <w:highlight w:val="none"/>
              </w:rPr>
            </w:pPr>
            <w:r>
              <w:rPr>
                <w:rFonts w:hint="eastAsia" w:ascii="宋体" w:hAnsi="宋体"/>
                <w:szCs w:val="21"/>
                <w:highlight w:val="none"/>
              </w:rPr>
              <w:t>投标人须在投标文件资格审查部分提供有效的安全生产许可证</w:t>
            </w:r>
            <w:r>
              <w:rPr>
                <w:rFonts w:ascii="宋体" w:hAnsi="宋体"/>
                <w:szCs w:val="21"/>
                <w:highlight w:val="none"/>
              </w:rPr>
              <w:t>及安全生产考核合格证书。</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422" w:firstLineChars="200"/>
              <w:textAlignment w:val="auto"/>
              <w:rPr>
                <w:rFonts w:ascii="宋体" w:hAnsi="宋体"/>
                <w:b/>
                <w:szCs w:val="21"/>
                <w:highlight w:val="none"/>
              </w:rPr>
            </w:pPr>
            <w:r>
              <w:rPr>
                <w:rFonts w:ascii="宋体" w:hAnsi="宋体"/>
                <w:b/>
                <w:szCs w:val="21"/>
                <w:highlight w:val="none"/>
              </w:rPr>
              <w:t>2.财务要求</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420" w:firstLineChars="200"/>
              <w:textAlignment w:val="auto"/>
              <w:rPr>
                <w:rFonts w:hint="eastAsia" w:ascii="宋体" w:hAnsi="宋体" w:eastAsia="宋体"/>
                <w:szCs w:val="21"/>
                <w:highlight w:val="none"/>
                <w:lang w:eastAsia="zh-CN"/>
              </w:rPr>
            </w:pPr>
            <w:r>
              <w:rPr>
                <w:rFonts w:hint="eastAsia" w:ascii="宋体" w:hAnsi="宋体"/>
                <w:szCs w:val="21"/>
                <w:highlight w:val="none"/>
              </w:rPr>
              <w:t>无</w:t>
            </w:r>
            <w:r>
              <w:rPr>
                <w:rFonts w:hint="eastAsia" w:ascii="宋体" w:hAnsi="宋体"/>
                <w:szCs w:val="21"/>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422" w:firstLineChars="200"/>
              <w:textAlignment w:val="auto"/>
              <w:rPr>
                <w:rFonts w:ascii="宋体" w:hAnsi="宋体"/>
                <w:b/>
                <w:szCs w:val="21"/>
                <w:highlight w:val="none"/>
              </w:rPr>
            </w:pPr>
            <w:r>
              <w:rPr>
                <w:rFonts w:ascii="宋体" w:hAnsi="宋体"/>
                <w:b/>
                <w:szCs w:val="21"/>
                <w:highlight w:val="none"/>
              </w:rPr>
              <w:t>3.业绩要求</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420" w:firstLineChars="200"/>
              <w:textAlignment w:val="auto"/>
              <w:rPr>
                <w:rFonts w:hint="eastAsia" w:ascii="宋体" w:hAnsi="宋体"/>
                <w:b w:val="0"/>
                <w:bCs/>
                <w:szCs w:val="21"/>
                <w:highlight w:val="none"/>
                <w:lang w:eastAsia="zh-CN"/>
              </w:rPr>
            </w:pPr>
            <w:r>
              <w:rPr>
                <w:rFonts w:hint="eastAsia" w:ascii="宋体" w:hAnsi="宋体"/>
                <w:b w:val="0"/>
                <w:bCs/>
                <w:szCs w:val="21"/>
                <w:highlight w:val="none"/>
                <w:lang w:val="en-US" w:eastAsia="zh-CN"/>
              </w:rPr>
              <w:t>无。</w:t>
            </w:r>
          </w:p>
          <w:p>
            <w:pPr>
              <w:keepNext w:val="0"/>
              <w:keepLines w:val="0"/>
              <w:pageBreakBefore w:val="0"/>
              <w:widowControl w:val="0"/>
              <w:kinsoku/>
              <w:wordWrap/>
              <w:overflowPunct/>
              <w:topLinePunct w:val="0"/>
              <w:bidi w:val="0"/>
              <w:adjustRightInd w:val="0"/>
              <w:snapToGrid w:val="0"/>
              <w:spacing w:line="400" w:lineRule="exact"/>
              <w:ind w:left="0" w:right="0" w:firstLine="422" w:firstLineChars="200"/>
              <w:textAlignment w:val="auto"/>
              <w:rPr>
                <w:rFonts w:ascii="宋体" w:hAnsi="宋体"/>
                <w:b/>
                <w:szCs w:val="21"/>
                <w:highlight w:val="none"/>
              </w:rPr>
            </w:pPr>
            <w:r>
              <w:rPr>
                <w:rFonts w:ascii="宋体" w:hAnsi="宋体"/>
                <w:b/>
                <w:szCs w:val="21"/>
                <w:highlight w:val="none"/>
              </w:rPr>
              <w:t>4.投标截止日投标资格情况</w:t>
            </w:r>
          </w:p>
          <w:p>
            <w:pPr>
              <w:keepNext w:val="0"/>
              <w:keepLines w:val="0"/>
              <w:pageBreakBefore w:val="0"/>
              <w:widowControl w:val="0"/>
              <w:kinsoku/>
              <w:wordWrap/>
              <w:overflowPunct/>
              <w:topLinePunct w:val="0"/>
              <w:bidi w:val="0"/>
              <w:snapToGrid w:val="0"/>
              <w:spacing w:line="400" w:lineRule="exact"/>
              <w:ind w:left="0" w:right="0" w:firstLine="420" w:firstLineChars="200"/>
              <w:textAlignment w:val="auto"/>
              <w:rPr>
                <w:rFonts w:ascii="宋体" w:hAnsi="宋体"/>
                <w:szCs w:val="21"/>
                <w:highlight w:val="none"/>
              </w:rPr>
            </w:pPr>
            <w:r>
              <w:rPr>
                <w:rFonts w:hint="eastAsia" w:ascii="宋体" w:hAnsi="宋体"/>
                <w:szCs w:val="21"/>
                <w:highlight w:val="none"/>
              </w:rPr>
              <w:t>投标人自行承诺（格式见第八章投标文件格式）不得存在下列情形之一：</w:t>
            </w:r>
          </w:p>
          <w:p>
            <w:pPr>
              <w:keepNext w:val="0"/>
              <w:keepLines w:val="0"/>
              <w:pageBreakBefore w:val="0"/>
              <w:widowControl w:val="0"/>
              <w:kinsoku/>
              <w:wordWrap/>
              <w:overflowPunct/>
              <w:topLinePunct w:val="0"/>
              <w:bidi w:val="0"/>
              <w:snapToGrid w:val="0"/>
              <w:spacing w:line="400" w:lineRule="exact"/>
              <w:ind w:left="0" w:right="0" w:firstLine="420" w:firstLineChars="200"/>
              <w:jc w:val="left"/>
              <w:textAlignment w:val="auto"/>
              <w:rPr>
                <w:rFonts w:ascii="宋体" w:hAnsi="宋体"/>
                <w:szCs w:val="21"/>
                <w:highlight w:val="none"/>
              </w:rPr>
            </w:pPr>
            <w:r>
              <w:rPr>
                <w:rFonts w:hint="eastAsia" w:ascii="宋体" w:hAnsi="宋体"/>
                <w:szCs w:val="21"/>
                <w:highlight w:val="none"/>
              </w:rPr>
              <w:t>（1）被人民法院列入失信被执行人名单且在被执行期内；</w:t>
            </w:r>
          </w:p>
          <w:p>
            <w:pPr>
              <w:keepNext w:val="0"/>
              <w:keepLines w:val="0"/>
              <w:pageBreakBefore w:val="0"/>
              <w:widowControl w:val="0"/>
              <w:kinsoku/>
              <w:wordWrap/>
              <w:overflowPunct/>
              <w:topLinePunct w:val="0"/>
              <w:bidi w:val="0"/>
              <w:snapToGrid w:val="0"/>
              <w:spacing w:line="400" w:lineRule="exact"/>
              <w:ind w:left="0" w:right="0" w:firstLine="420" w:firstLineChars="200"/>
              <w:textAlignment w:val="auto"/>
              <w:rPr>
                <w:rFonts w:ascii="宋体" w:hAnsi="宋体"/>
                <w:szCs w:val="21"/>
                <w:highlight w:val="none"/>
              </w:rPr>
            </w:pPr>
            <w:r>
              <w:rPr>
                <w:rFonts w:hint="eastAsia" w:ascii="宋体" w:hAnsi="宋体"/>
                <w:szCs w:val="21"/>
                <w:highlight w:val="none"/>
              </w:rPr>
              <w:t>（2）被列入《重庆市工程建设领域招标投标信用管理暂行办法》规定的重点关注名单且记分达到12分且在记分有效期内；</w:t>
            </w:r>
          </w:p>
          <w:p>
            <w:pPr>
              <w:keepNext w:val="0"/>
              <w:keepLines w:val="0"/>
              <w:pageBreakBefore w:val="0"/>
              <w:widowControl w:val="0"/>
              <w:kinsoku/>
              <w:wordWrap/>
              <w:overflowPunct/>
              <w:topLinePunct w:val="0"/>
              <w:bidi w:val="0"/>
              <w:snapToGrid w:val="0"/>
              <w:spacing w:line="400" w:lineRule="exact"/>
              <w:ind w:left="0" w:right="0" w:firstLine="420" w:firstLineChars="200"/>
              <w:textAlignment w:val="auto"/>
              <w:rPr>
                <w:rFonts w:ascii="宋体" w:hAnsi="宋体"/>
                <w:szCs w:val="21"/>
                <w:highlight w:val="none"/>
              </w:rPr>
            </w:pPr>
            <w:r>
              <w:rPr>
                <w:rFonts w:hint="eastAsia" w:ascii="宋体" w:hAnsi="宋体"/>
                <w:szCs w:val="21"/>
                <w:highlight w:val="none"/>
              </w:rPr>
              <w:t>（3）被列入《重庆市工程建设领域招标投标信用管理暂行办法》规定的重庆市工程建设领域招标投标失信惩戒对象名单（以下称黑名单）且在记分有效期内；</w:t>
            </w:r>
          </w:p>
          <w:p>
            <w:pPr>
              <w:keepNext w:val="0"/>
              <w:keepLines w:val="0"/>
              <w:pageBreakBefore w:val="0"/>
              <w:widowControl w:val="0"/>
              <w:kinsoku/>
              <w:wordWrap/>
              <w:overflowPunct/>
              <w:topLinePunct w:val="0"/>
              <w:bidi w:val="0"/>
              <w:snapToGrid w:val="0"/>
              <w:spacing w:line="400" w:lineRule="exact"/>
              <w:ind w:left="0" w:right="0" w:firstLine="420" w:firstLineChars="200"/>
              <w:textAlignment w:val="auto"/>
              <w:rPr>
                <w:rFonts w:ascii="宋体" w:hAnsi="宋体"/>
                <w:szCs w:val="21"/>
                <w:highlight w:val="none"/>
              </w:rPr>
            </w:pPr>
            <w:r>
              <w:rPr>
                <w:rFonts w:hint="eastAsia" w:ascii="宋体" w:hAnsi="宋体"/>
                <w:szCs w:val="21"/>
                <w:highlight w:val="none"/>
              </w:rPr>
              <w:t>（4）被国家、重庆市（含市或任意区县）有关行政部门处以暂停投标资格行政处罚，且在处罚期限内；</w:t>
            </w:r>
          </w:p>
          <w:p>
            <w:pPr>
              <w:keepNext w:val="0"/>
              <w:keepLines w:val="0"/>
              <w:pageBreakBefore w:val="0"/>
              <w:widowControl w:val="0"/>
              <w:kinsoku/>
              <w:wordWrap/>
              <w:overflowPunct/>
              <w:topLinePunct w:val="0"/>
              <w:bidi w:val="0"/>
              <w:snapToGrid w:val="0"/>
              <w:spacing w:line="400" w:lineRule="exact"/>
              <w:ind w:left="0" w:right="0" w:firstLine="420" w:firstLineChars="200"/>
              <w:textAlignment w:val="auto"/>
              <w:rPr>
                <w:rFonts w:ascii="宋体" w:hAnsi="宋体"/>
                <w:szCs w:val="21"/>
                <w:highlight w:val="none"/>
              </w:rPr>
            </w:pPr>
            <w:r>
              <w:rPr>
                <w:rFonts w:hint="eastAsia" w:ascii="宋体" w:hAnsi="宋体"/>
                <w:szCs w:val="21"/>
                <w:highlight w:val="none"/>
              </w:rPr>
              <w:t>（5）被重庆市住房和城乡建设主管部门暂停在渝承揽新业务且在暂停期内。</w:t>
            </w:r>
          </w:p>
          <w:p>
            <w:pPr>
              <w:keepNext w:val="0"/>
              <w:keepLines w:val="0"/>
              <w:pageBreakBefore w:val="0"/>
              <w:widowControl w:val="0"/>
              <w:kinsoku/>
              <w:wordWrap/>
              <w:overflowPunct/>
              <w:topLinePunct w:val="0"/>
              <w:bidi w:val="0"/>
              <w:spacing w:line="400" w:lineRule="exact"/>
              <w:ind w:left="0" w:right="0" w:firstLine="420" w:firstLineChars="200"/>
              <w:textAlignment w:val="auto"/>
              <w:rPr>
                <w:highlight w:val="none"/>
              </w:rPr>
            </w:pPr>
            <w:r>
              <w:rPr>
                <w:rFonts w:hint="eastAsia"/>
                <w:highlight w:val="none"/>
              </w:rPr>
              <w:t>投标人须在投标文件资格审查部分提供承诺。</w:t>
            </w:r>
          </w:p>
          <w:p>
            <w:pPr>
              <w:keepNext w:val="0"/>
              <w:keepLines w:val="0"/>
              <w:pageBreakBefore w:val="0"/>
              <w:widowControl w:val="0"/>
              <w:kinsoku/>
              <w:wordWrap/>
              <w:overflowPunct/>
              <w:topLinePunct w:val="0"/>
              <w:bidi w:val="0"/>
              <w:snapToGrid w:val="0"/>
              <w:spacing w:line="400" w:lineRule="exact"/>
              <w:ind w:left="0" w:right="0" w:firstLine="422" w:firstLineChars="200"/>
              <w:textAlignment w:val="auto"/>
              <w:rPr>
                <w:rFonts w:ascii="宋体" w:hAnsi="宋体"/>
                <w:b/>
                <w:szCs w:val="21"/>
                <w:highlight w:val="none"/>
              </w:rPr>
            </w:pPr>
            <w:r>
              <w:rPr>
                <w:rFonts w:ascii="宋体" w:hAnsi="宋体"/>
                <w:b/>
                <w:szCs w:val="21"/>
                <w:highlight w:val="none"/>
              </w:rPr>
              <w:t>5.项目经理资格要求</w:t>
            </w:r>
          </w:p>
          <w:p>
            <w:pPr>
              <w:keepNext w:val="0"/>
              <w:keepLines w:val="0"/>
              <w:pageBreakBefore w:val="0"/>
              <w:widowControl w:val="0"/>
              <w:kinsoku/>
              <w:wordWrap/>
              <w:overflowPunct/>
              <w:topLinePunct w:val="0"/>
              <w:bidi w:val="0"/>
              <w:snapToGrid w:val="0"/>
              <w:spacing w:line="400" w:lineRule="exact"/>
              <w:ind w:left="0" w:right="0" w:firstLine="420" w:firstLineChars="200"/>
              <w:textAlignment w:val="auto"/>
              <w:rPr>
                <w:rFonts w:hint="eastAsia" w:ascii="宋体" w:hAnsi="宋体"/>
                <w:szCs w:val="21"/>
                <w:highlight w:val="none"/>
              </w:rPr>
            </w:pPr>
            <w:r>
              <w:rPr>
                <w:rFonts w:hint="eastAsia" w:ascii="宋体" w:hAnsi="宋体"/>
                <w:szCs w:val="21"/>
                <w:highlight w:val="none"/>
              </w:rPr>
              <w:t>5.1</w:t>
            </w:r>
            <w:r>
              <w:rPr>
                <w:rFonts w:hint="eastAsia"/>
                <w:szCs w:val="21"/>
                <w:highlight w:val="none"/>
              </w:rPr>
              <w:t>投标人拟派的</w:t>
            </w:r>
            <w:r>
              <w:rPr>
                <w:szCs w:val="21"/>
                <w:highlight w:val="none"/>
              </w:rPr>
              <w:t>项目经理必须已在</w:t>
            </w:r>
            <w:r>
              <w:rPr>
                <w:rFonts w:hint="eastAsia"/>
                <w:szCs w:val="21"/>
                <w:highlight w:val="none"/>
              </w:rPr>
              <w:t>投标人本</w:t>
            </w:r>
            <w:r>
              <w:rPr>
                <w:szCs w:val="21"/>
                <w:highlight w:val="none"/>
              </w:rPr>
              <w:t>单位注册并应具有</w:t>
            </w:r>
            <w:r>
              <w:rPr>
                <w:rFonts w:hint="eastAsia"/>
                <w:b/>
                <w:bCs/>
                <w:szCs w:val="21"/>
                <w:highlight w:val="none"/>
                <w:u w:val="single"/>
                <w:lang w:val="en-US" w:eastAsia="zh-CN"/>
              </w:rPr>
              <w:t>建筑</w:t>
            </w:r>
            <w:r>
              <w:rPr>
                <w:rFonts w:hint="eastAsia"/>
                <w:b/>
                <w:bCs/>
                <w:szCs w:val="21"/>
                <w:highlight w:val="none"/>
                <w:u w:val="single"/>
              </w:rPr>
              <w:t>工程</w:t>
            </w:r>
            <w:r>
              <w:rPr>
                <w:rFonts w:hint="eastAsia"/>
                <w:szCs w:val="21"/>
                <w:highlight w:val="none"/>
              </w:rPr>
              <w:t>专业</w:t>
            </w:r>
            <w:r>
              <w:rPr>
                <w:rFonts w:hint="eastAsia"/>
                <w:b/>
                <w:bCs/>
                <w:szCs w:val="21"/>
                <w:highlight w:val="none"/>
                <w:u w:val="single"/>
                <w:lang w:val="en-US" w:eastAsia="zh-CN"/>
              </w:rPr>
              <w:t>二</w:t>
            </w:r>
            <w:r>
              <w:rPr>
                <w:b/>
                <w:bCs/>
                <w:szCs w:val="21"/>
                <w:highlight w:val="none"/>
                <w:u w:val="single"/>
              </w:rPr>
              <w:t>级及以上</w:t>
            </w:r>
            <w:r>
              <w:rPr>
                <w:szCs w:val="21"/>
                <w:highlight w:val="none"/>
              </w:rPr>
              <w:t>注册建造师执业</w:t>
            </w:r>
            <w:r>
              <w:rPr>
                <w:rFonts w:ascii="宋体" w:hAnsi="宋体"/>
                <w:szCs w:val="21"/>
                <w:highlight w:val="none"/>
              </w:rPr>
              <w:t>资格</w:t>
            </w:r>
            <w:r>
              <w:rPr>
                <w:rFonts w:hint="eastAsia" w:ascii="宋体" w:hAnsi="宋体"/>
                <w:szCs w:val="21"/>
                <w:highlight w:val="none"/>
              </w:rPr>
              <w:t>。</w:t>
            </w:r>
          </w:p>
          <w:p>
            <w:pPr>
              <w:keepNext w:val="0"/>
              <w:keepLines w:val="0"/>
              <w:pageBreakBefore w:val="0"/>
              <w:widowControl w:val="0"/>
              <w:kinsoku/>
              <w:wordWrap/>
              <w:overflowPunct/>
              <w:topLinePunct w:val="0"/>
              <w:bidi w:val="0"/>
              <w:snapToGrid w:val="0"/>
              <w:spacing w:line="400" w:lineRule="exact"/>
              <w:ind w:left="0" w:right="0" w:firstLine="420" w:firstLineChars="200"/>
              <w:jc w:val="left"/>
              <w:textAlignment w:val="auto"/>
              <w:rPr>
                <w:rFonts w:ascii="宋体" w:hAnsi="宋体"/>
                <w:szCs w:val="21"/>
                <w:highlight w:val="none"/>
              </w:rPr>
            </w:pPr>
            <w:r>
              <w:rPr>
                <w:rFonts w:hint="eastAsia" w:ascii="宋体" w:hAnsi="宋体"/>
                <w:szCs w:val="21"/>
                <w:highlight w:val="none"/>
              </w:rPr>
              <w:t>5.2项目经理承诺要求：投标人须承诺拟派项目经理按注册建造师的相关规定到岗履职和未被禁止参与投标。</w:t>
            </w:r>
          </w:p>
          <w:p>
            <w:pPr>
              <w:keepNext w:val="0"/>
              <w:keepLines w:val="0"/>
              <w:pageBreakBefore w:val="0"/>
              <w:widowControl w:val="0"/>
              <w:kinsoku/>
              <w:wordWrap/>
              <w:overflowPunct/>
              <w:topLinePunct w:val="0"/>
              <w:bidi w:val="0"/>
              <w:snapToGrid w:val="0"/>
              <w:spacing w:line="400" w:lineRule="exact"/>
              <w:ind w:left="0" w:right="0" w:firstLine="420" w:firstLineChars="200"/>
              <w:textAlignment w:val="auto"/>
              <w:rPr>
                <w:rFonts w:ascii="宋体" w:hAnsi="宋体"/>
                <w:color w:val="000000"/>
                <w:highlight w:val="none"/>
              </w:rPr>
            </w:pPr>
            <w:r>
              <w:rPr>
                <w:rFonts w:ascii="宋体" w:hAnsi="宋体"/>
                <w:color w:val="000000"/>
                <w:highlight w:val="none"/>
              </w:rPr>
              <w:t>5.2.1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招标人造成损失的，投标人依法承担违约赔偿责任。拟派项目经理中标后不得随意更换。</w:t>
            </w:r>
          </w:p>
          <w:p>
            <w:pPr>
              <w:keepNext w:val="0"/>
              <w:keepLines w:val="0"/>
              <w:pageBreakBefore w:val="0"/>
              <w:widowControl w:val="0"/>
              <w:kinsoku/>
              <w:wordWrap/>
              <w:overflowPunct/>
              <w:topLinePunct w:val="0"/>
              <w:bidi w:val="0"/>
              <w:snapToGrid w:val="0"/>
              <w:spacing w:line="400" w:lineRule="exact"/>
              <w:ind w:left="0" w:right="0" w:firstLine="420" w:firstLineChars="200"/>
              <w:textAlignment w:val="auto"/>
              <w:rPr>
                <w:rFonts w:ascii="宋体" w:hAnsi="宋体"/>
                <w:color w:val="000000"/>
                <w:highlight w:val="none"/>
              </w:rPr>
            </w:pPr>
            <w:r>
              <w:rPr>
                <w:rFonts w:ascii="宋体" w:hAnsi="宋体"/>
                <w:color w:val="000000"/>
                <w:highlight w:val="none"/>
              </w:rPr>
              <w:t>5.2.2未被禁止参与投标承诺要求：承诺拟派项目经理未被重庆市住房和城乡建设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pPr>
              <w:keepNext w:val="0"/>
              <w:keepLines w:val="0"/>
              <w:pageBreakBefore w:val="0"/>
              <w:widowControl w:val="0"/>
              <w:kinsoku/>
              <w:wordWrap/>
              <w:overflowPunct/>
              <w:topLinePunct w:val="0"/>
              <w:bidi w:val="0"/>
              <w:snapToGrid w:val="0"/>
              <w:spacing w:line="400" w:lineRule="exact"/>
              <w:ind w:left="0" w:right="0" w:firstLine="420" w:firstLineChars="200"/>
              <w:textAlignment w:val="auto"/>
              <w:rPr>
                <w:rFonts w:ascii="宋体" w:hAnsi="宋体"/>
                <w:color w:val="000000"/>
                <w:highlight w:val="none"/>
              </w:rPr>
            </w:pPr>
            <w:r>
              <w:rPr>
                <w:rFonts w:ascii="宋体" w:hAnsi="宋体"/>
                <w:color w:val="000000"/>
                <w:highlight w:val="none"/>
              </w:rPr>
              <w:t>5.2.3项目经理的其它承诺要求：为保证</w:t>
            </w:r>
            <w:r>
              <w:rPr>
                <w:rFonts w:hint="eastAsia" w:ascii="宋体" w:hAnsi="宋体"/>
                <w:color w:val="000000"/>
                <w:highlight w:val="none"/>
              </w:rPr>
              <w:t>投标人</w:t>
            </w:r>
            <w:r>
              <w:rPr>
                <w:rFonts w:ascii="宋体" w:hAnsi="宋体"/>
                <w:color w:val="000000"/>
                <w:highlight w:val="none"/>
              </w:rPr>
              <w:t>拟派的项目经理到本项目到岗履职，</w:t>
            </w:r>
            <w:r>
              <w:rPr>
                <w:rFonts w:hint="eastAsia" w:ascii="宋体" w:hAnsi="宋体"/>
                <w:color w:val="000000"/>
                <w:highlight w:val="none"/>
              </w:rPr>
              <w:t>投标人</w:t>
            </w:r>
            <w:r>
              <w:rPr>
                <w:rFonts w:ascii="宋体" w:hAnsi="宋体"/>
                <w:color w:val="000000"/>
                <w:highlight w:val="none"/>
              </w:rPr>
              <w:t>还需承诺：</w:t>
            </w:r>
          </w:p>
          <w:p>
            <w:pPr>
              <w:keepNext w:val="0"/>
              <w:keepLines w:val="0"/>
              <w:pageBreakBefore w:val="0"/>
              <w:widowControl w:val="0"/>
              <w:kinsoku/>
              <w:wordWrap/>
              <w:overflowPunct/>
              <w:topLinePunct w:val="0"/>
              <w:bidi w:val="0"/>
              <w:snapToGrid w:val="0"/>
              <w:spacing w:line="400" w:lineRule="exact"/>
              <w:ind w:left="0" w:right="0" w:firstLine="420" w:firstLineChars="200"/>
              <w:textAlignment w:val="auto"/>
              <w:rPr>
                <w:rFonts w:ascii="宋体" w:hAnsi="宋体"/>
                <w:color w:val="000000"/>
                <w:highlight w:val="none"/>
              </w:rPr>
            </w:pPr>
            <w:r>
              <w:rPr>
                <w:rFonts w:ascii="宋体" w:hAnsi="宋体"/>
                <w:color w:val="000000"/>
                <w:highlight w:val="none"/>
              </w:rPr>
              <w:t>若</w:t>
            </w:r>
            <w:r>
              <w:rPr>
                <w:rFonts w:hint="eastAsia" w:ascii="宋体" w:hAnsi="宋体"/>
                <w:color w:val="000000"/>
                <w:highlight w:val="none"/>
              </w:rPr>
              <w:t>投标人</w:t>
            </w:r>
            <w:r>
              <w:rPr>
                <w:rFonts w:ascii="宋体" w:hAnsi="宋体"/>
                <w:color w:val="000000"/>
                <w:highlight w:val="none"/>
              </w:rPr>
              <w:t>拟派本项目的项目经理有在其他项目任职的情形的（或有在其他项目中标或拟中标的情形的），应在收到中标通知书后</w:t>
            </w:r>
            <w:r>
              <w:rPr>
                <w:rFonts w:ascii="宋体" w:hAnsi="宋体"/>
                <w:color w:val="000000"/>
                <w:highlight w:val="none"/>
                <w:u w:val="single"/>
              </w:rPr>
              <w:t xml:space="preserve"> 14 </w:t>
            </w:r>
            <w:r>
              <w:rPr>
                <w:rFonts w:ascii="宋体" w:hAnsi="宋体"/>
                <w:color w:val="000000"/>
                <w:highlight w:val="none"/>
              </w:rPr>
              <w:t>日内，办理完成放弃在其他项目任职的手续（或办理完成放弃在其他项目中标</w:t>
            </w:r>
            <w:r>
              <w:rPr>
                <w:rFonts w:hint="eastAsia" w:ascii="宋体" w:hAnsi="宋体"/>
                <w:color w:val="000000"/>
                <w:highlight w:val="none"/>
              </w:rPr>
              <w:t>或拟中标</w:t>
            </w:r>
            <w:r>
              <w:rPr>
                <w:rFonts w:ascii="宋体" w:hAnsi="宋体"/>
                <w:color w:val="000000"/>
                <w:highlight w:val="none"/>
              </w:rPr>
              <w:t>的手续），招标人在合同签订前有权对</w:t>
            </w:r>
            <w:r>
              <w:rPr>
                <w:rFonts w:hint="eastAsia" w:ascii="宋体" w:hAnsi="宋体"/>
                <w:color w:val="000000"/>
                <w:highlight w:val="none"/>
              </w:rPr>
              <w:t>投标人</w:t>
            </w:r>
            <w:r>
              <w:rPr>
                <w:rFonts w:ascii="宋体" w:hAnsi="宋体"/>
                <w:color w:val="000000"/>
                <w:highlight w:val="none"/>
              </w:rPr>
              <w:t>拟派项目经理在其他项目的任职情形（或在其他项目的中标或拟中标情形）进行核查，若与</w:t>
            </w:r>
            <w:r>
              <w:rPr>
                <w:rFonts w:hint="eastAsia" w:ascii="宋体" w:hAnsi="宋体"/>
                <w:color w:val="000000"/>
                <w:highlight w:val="none"/>
              </w:rPr>
              <w:t>投标人</w:t>
            </w:r>
            <w:r>
              <w:rPr>
                <w:rFonts w:ascii="宋体" w:hAnsi="宋体"/>
                <w:color w:val="000000"/>
                <w:highlight w:val="none"/>
              </w:rPr>
              <w:t>承诺内容不符或</w:t>
            </w:r>
            <w:r>
              <w:rPr>
                <w:rFonts w:hint="eastAsia" w:ascii="宋体" w:hAnsi="宋体"/>
                <w:color w:val="000000"/>
                <w:highlight w:val="none"/>
              </w:rPr>
              <w:t>投标人</w:t>
            </w:r>
            <w:r>
              <w:rPr>
                <w:rFonts w:ascii="宋体" w:hAnsi="宋体"/>
                <w:color w:val="000000"/>
                <w:highlight w:val="none"/>
              </w:rPr>
              <w:t>未在上述时间内按照招标文件规定递交放弃在其他项目任职、中标或拟中标的相关资料，视为</w:t>
            </w:r>
            <w:r>
              <w:rPr>
                <w:rFonts w:hint="eastAsia" w:ascii="宋体" w:hAnsi="宋体"/>
                <w:color w:val="000000"/>
                <w:highlight w:val="none"/>
              </w:rPr>
              <w:t>投标人</w:t>
            </w:r>
            <w:r>
              <w:rPr>
                <w:rFonts w:ascii="宋体" w:hAnsi="宋体"/>
                <w:color w:val="000000"/>
                <w:highlight w:val="none"/>
              </w:rPr>
              <w:t>放弃中标资格，招标人不退还其投标保证金。在合同签订时，</w:t>
            </w:r>
            <w:r>
              <w:rPr>
                <w:rFonts w:hint="eastAsia" w:ascii="宋体" w:hAnsi="宋体"/>
                <w:color w:val="000000"/>
                <w:highlight w:val="none"/>
              </w:rPr>
              <w:t>投标人</w:t>
            </w:r>
            <w:r>
              <w:rPr>
                <w:rFonts w:ascii="宋体" w:hAnsi="宋体"/>
                <w:color w:val="000000"/>
                <w:highlight w:val="none"/>
              </w:rPr>
              <w:t>需确保拟派项目经理符合《建筑施工企业项目经理资质管理办法》规定的项目经理任职条件，否则视为</w:t>
            </w:r>
            <w:r>
              <w:rPr>
                <w:rFonts w:hint="eastAsia" w:ascii="宋体" w:hAnsi="宋体"/>
                <w:color w:val="000000"/>
                <w:highlight w:val="none"/>
              </w:rPr>
              <w:t>投标人</w:t>
            </w:r>
            <w:r>
              <w:rPr>
                <w:rFonts w:ascii="宋体" w:hAnsi="宋体"/>
                <w:color w:val="000000"/>
                <w:highlight w:val="none"/>
              </w:rPr>
              <w:t>放弃中标资格，招标人不退还其投标保证金。</w:t>
            </w:r>
          </w:p>
          <w:p>
            <w:pPr>
              <w:keepNext w:val="0"/>
              <w:keepLines w:val="0"/>
              <w:pageBreakBefore w:val="0"/>
              <w:widowControl w:val="0"/>
              <w:kinsoku/>
              <w:wordWrap/>
              <w:overflowPunct/>
              <w:topLinePunct w:val="0"/>
              <w:bidi w:val="0"/>
              <w:snapToGrid w:val="0"/>
              <w:spacing w:line="400" w:lineRule="exact"/>
              <w:ind w:left="0" w:right="0" w:firstLine="420" w:firstLineChars="200"/>
              <w:textAlignment w:val="auto"/>
              <w:rPr>
                <w:rFonts w:ascii="宋体" w:hAnsi="宋体"/>
                <w:color w:val="000000"/>
                <w:highlight w:val="none"/>
              </w:rPr>
            </w:pPr>
            <w:r>
              <w:rPr>
                <w:rFonts w:ascii="宋体" w:hAnsi="宋体"/>
                <w:color w:val="000000"/>
                <w:highlight w:val="none"/>
              </w:rPr>
              <w:t>放弃在其他项目任职的需提供</w:t>
            </w:r>
            <w:r>
              <w:rPr>
                <w:rFonts w:hint="eastAsia" w:ascii="宋体" w:hAnsi="宋体"/>
                <w:color w:val="000000"/>
                <w:highlight w:val="none"/>
              </w:rPr>
              <w:t>：</w:t>
            </w:r>
            <w:r>
              <w:rPr>
                <w:rFonts w:ascii="宋体" w:hAnsi="宋体"/>
                <w:color w:val="000000"/>
                <w:highlight w:val="none"/>
              </w:rPr>
              <w:t>①</w:t>
            </w:r>
            <w:r>
              <w:rPr>
                <w:rFonts w:hint="eastAsia" w:ascii="宋体" w:hAnsi="宋体"/>
                <w:color w:val="000000"/>
                <w:highlight w:val="none"/>
              </w:rPr>
              <w:t>经</w:t>
            </w:r>
            <w:r>
              <w:rPr>
                <w:rFonts w:ascii="宋体" w:hAnsi="宋体"/>
                <w:color w:val="000000"/>
                <w:highlight w:val="none"/>
              </w:rPr>
              <w:t>业主或建设单位同意任职变更的文件；②负责项目监管的行业行政主管部门出具同意任职变更的证明材料。</w:t>
            </w:r>
          </w:p>
          <w:p>
            <w:pPr>
              <w:keepNext w:val="0"/>
              <w:keepLines w:val="0"/>
              <w:pageBreakBefore w:val="0"/>
              <w:widowControl w:val="0"/>
              <w:kinsoku/>
              <w:wordWrap/>
              <w:overflowPunct/>
              <w:topLinePunct w:val="0"/>
              <w:bidi w:val="0"/>
              <w:snapToGrid w:val="0"/>
              <w:spacing w:line="400" w:lineRule="exact"/>
              <w:ind w:left="0" w:right="0" w:firstLine="420" w:firstLineChars="200"/>
              <w:textAlignment w:val="auto"/>
              <w:rPr>
                <w:rFonts w:ascii="宋体" w:hAnsi="宋体"/>
                <w:color w:val="000000"/>
                <w:highlight w:val="none"/>
              </w:rPr>
            </w:pPr>
            <w:r>
              <w:rPr>
                <w:rFonts w:ascii="宋体" w:hAnsi="宋体"/>
                <w:color w:val="000000"/>
                <w:highlight w:val="none"/>
              </w:rPr>
              <w:t>放弃在其他项目中标或拟中标的需提供</w:t>
            </w:r>
            <w:r>
              <w:rPr>
                <w:rFonts w:hint="eastAsia" w:ascii="宋体" w:hAnsi="宋体"/>
                <w:color w:val="000000"/>
                <w:highlight w:val="none"/>
              </w:rPr>
              <w:t>：</w:t>
            </w:r>
            <w:r>
              <w:rPr>
                <w:rFonts w:ascii="宋体" w:hAnsi="宋体"/>
                <w:color w:val="000000"/>
                <w:highlight w:val="none"/>
              </w:rPr>
              <w:t>①经中标或拟中标的其他项目建设单位同意的放弃中标函</w:t>
            </w:r>
            <w:r>
              <w:rPr>
                <w:rFonts w:hint="eastAsia" w:ascii="宋体" w:hAnsi="宋体"/>
                <w:color w:val="000000"/>
                <w:highlight w:val="none"/>
              </w:rPr>
              <w:t>。</w:t>
            </w:r>
          </w:p>
          <w:p>
            <w:pPr>
              <w:keepNext w:val="0"/>
              <w:keepLines w:val="0"/>
              <w:pageBreakBefore w:val="0"/>
              <w:widowControl w:val="0"/>
              <w:kinsoku/>
              <w:wordWrap/>
              <w:overflowPunct/>
              <w:topLinePunct w:val="0"/>
              <w:bidi w:val="0"/>
              <w:snapToGrid w:val="0"/>
              <w:spacing w:line="400" w:lineRule="exact"/>
              <w:ind w:left="0" w:right="0" w:firstLine="420" w:firstLineChars="200"/>
              <w:textAlignment w:val="auto"/>
              <w:rPr>
                <w:rFonts w:hint="eastAsia" w:ascii="宋体" w:hAnsi="宋体"/>
                <w:color w:val="000000"/>
                <w:highlight w:val="none"/>
              </w:rPr>
            </w:pPr>
            <w:r>
              <w:rPr>
                <w:rFonts w:hint="eastAsia" w:ascii="宋体" w:hAnsi="宋体"/>
                <w:color w:val="000000"/>
                <w:highlight w:val="none"/>
              </w:rPr>
              <w:t>5.2.4未提供上述承诺或承诺内容不符合要求的，由评标委员会作否决投标处理。</w:t>
            </w:r>
          </w:p>
          <w:p>
            <w:pPr>
              <w:keepNext w:val="0"/>
              <w:keepLines w:val="0"/>
              <w:pageBreakBefore w:val="0"/>
              <w:widowControl w:val="0"/>
              <w:kinsoku/>
              <w:wordWrap/>
              <w:overflowPunct/>
              <w:topLinePunct w:val="0"/>
              <w:bidi w:val="0"/>
              <w:snapToGrid w:val="0"/>
              <w:spacing w:line="400" w:lineRule="exact"/>
              <w:ind w:left="0" w:right="0" w:firstLine="420" w:firstLineChars="200"/>
              <w:textAlignment w:val="auto"/>
              <w:rPr>
                <w:highlight w:val="none"/>
              </w:rPr>
            </w:pPr>
            <w:r>
              <w:rPr>
                <w:rFonts w:hint="eastAsia" w:ascii="宋体" w:hAnsi="宋体"/>
                <w:kern w:val="0"/>
                <w:szCs w:val="21"/>
                <w:highlight w:val="none"/>
              </w:rPr>
              <w:t>投标人须在投标文件资格审查部分提供有效的拟派项目经理建造师注册证（若提供拟派的项目经理一级建造师电子注册证的，则该一级建造师电子注册证书须由建造师本人在个人签名处手写本人签名，未手写签名或与签名图像笔迹不一致的，该一级建造师电子注册证书无效）、身份证、投标人为其缴纳的养老保险证明材料，拟派项目经理到岗履职和未被禁止参与投标的承诺（承诺格式见第八章投标文件格式）。</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422" w:firstLineChars="200"/>
              <w:textAlignment w:val="auto"/>
              <w:rPr>
                <w:rFonts w:ascii="宋体" w:hAnsi="宋体"/>
                <w:b/>
                <w:szCs w:val="21"/>
                <w:highlight w:val="none"/>
              </w:rPr>
            </w:pPr>
            <w:r>
              <w:rPr>
                <w:rFonts w:ascii="宋体" w:hAnsi="宋体"/>
                <w:b/>
                <w:szCs w:val="21"/>
                <w:highlight w:val="none"/>
              </w:rPr>
              <w:t>6.其他要求</w:t>
            </w:r>
          </w:p>
          <w:p>
            <w:pPr>
              <w:keepNext w:val="0"/>
              <w:keepLines w:val="0"/>
              <w:pageBreakBefore w:val="0"/>
              <w:widowControl w:val="0"/>
              <w:kinsoku/>
              <w:wordWrap/>
              <w:overflowPunct/>
              <w:topLinePunct w:val="0"/>
              <w:bidi w:val="0"/>
              <w:snapToGrid w:val="0"/>
              <w:spacing w:line="400" w:lineRule="exact"/>
              <w:ind w:left="0" w:right="0" w:firstLine="420" w:firstLineChars="200"/>
              <w:textAlignment w:val="auto"/>
              <w:rPr>
                <w:rFonts w:ascii="宋体" w:hAnsi="宋体"/>
                <w:szCs w:val="21"/>
                <w:highlight w:val="none"/>
              </w:rPr>
            </w:pPr>
            <w:r>
              <w:rPr>
                <w:rFonts w:ascii="宋体" w:hAnsi="宋体"/>
                <w:kern w:val="0"/>
                <w:szCs w:val="21"/>
                <w:highlight w:val="none"/>
              </w:rPr>
              <w:t>（1）</w:t>
            </w:r>
            <w:r>
              <w:rPr>
                <w:rFonts w:ascii="宋体" w:hAnsi="宋体"/>
                <w:szCs w:val="21"/>
                <w:highlight w:val="none"/>
              </w:rPr>
              <w:t>项目技术负责人：</w:t>
            </w:r>
          </w:p>
          <w:p>
            <w:pPr>
              <w:keepNext w:val="0"/>
              <w:keepLines w:val="0"/>
              <w:pageBreakBefore w:val="0"/>
              <w:widowControl w:val="0"/>
              <w:kinsoku/>
              <w:wordWrap/>
              <w:overflowPunct/>
              <w:topLinePunct w:val="0"/>
              <w:bidi w:val="0"/>
              <w:snapToGrid w:val="0"/>
              <w:spacing w:line="400" w:lineRule="exact"/>
              <w:ind w:left="0" w:right="0" w:firstLine="420" w:firstLineChars="200"/>
              <w:textAlignment w:val="auto"/>
              <w:rPr>
                <w:rFonts w:ascii="宋体" w:hAnsi="宋体"/>
                <w:color w:val="auto"/>
                <w:szCs w:val="21"/>
                <w:highlight w:val="none"/>
              </w:rPr>
            </w:pPr>
            <w:r>
              <w:rPr>
                <w:rFonts w:ascii="宋体" w:hAnsi="宋体"/>
                <w:color w:val="auto"/>
                <w:szCs w:val="21"/>
                <w:highlight w:val="none"/>
              </w:rPr>
              <w:t>应具有</w:t>
            </w:r>
            <w:r>
              <w:rPr>
                <w:rFonts w:hint="eastAsia" w:ascii="宋体" w:hAnsi="宋体"/>
                <w:b/>
                <w:bCs/>
                <w:color w:val="auto"/>
                <w:szCs w:val="21"/>
                <w:highlight w:val="none"/>
                <w:u w:val="single"/>
                <w:lang w:val="en-US" w:eastAsia="zh-CN"/>
              </w:rPr>
              <w:t>工程</w:t>
            </w:r>
            <w:r>
              <w:rPr>
                <w:rFonts w:hint="eastAsia" w:ascii="宋体" w:hAnsi="宋体"/>
                <w:b/>
                <w:bCs/>
                <w:color w:val="auto"/>
                <w:szCs w:val="21"/>
                <w:highlight w:val="none"/>
                <w:u w:val="single"/>
              </w:rPr>
              <w:t>类</w:t>
            </w:r>
            <w:r>
              <w:rPr>
                <w:rFonts w:hint="eastAsia" w:ascii="宋体" w:hAnsi="宋体"/>
                <w:b/>
                <w:bCs/>
                <w:color w:val="auto"/>
                <w:szCs w:val="21"/>
                <w:highlight w:val="none"/>
                <w:u w:val="single"/>
                <w:lang w:val="en-US" w:eastAsia="zh-CN"/>
              </w:rPr>
              <w:t>中</w:t>
            </w:r>
            <w:r>
              <w:rPr>
                <w:rFonts w:ascii="宋体" w:hAnsi="宋体"/>
                <w:b/>
                <w:bCs/>
                <w:color w:val="auto"/>
                <w:szCs w:val="21"/>
                <w:highlight w:val="none"/>
                <w:u w:val="single"/>
              </w:rPr>
              <w:t>级及以上</w:t>
            </w:r>
            <w:r>
              <w:rPr>
                <w:rFonts w:ascii="宋体" w:hAnsi="宋体"/>
                <w:color w:val="auto"/>
                <w:szCs w:val="21"/>
                <w:highlight w:val="none"/>
              </w:rPr>
              <w:t>职称；</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420" w:firstLineChars="200"/>
              <w:textAlignment w:val="auto"/>
              <w:rPr>
                <w:rFonts w:ascii="宋体" w:hAnsi="宋体"/>
                <w:kern w:val="0"/>
                <w:szCs w:val="21"/>
                <w:highlight w:val="none"/>
              </w:rPr>
            </w:pPr>
            <w:r>
              <w:rPr>
                <w:rFonts w:hint="eastAsia" w:ascii="宋体" w:hAnsi="宋体"/>
                <w:kern w:val="0"/>
                <w:szCs w:val="21"/>
                <w:highlight w:val="none"/>
              </w:rPr>
              <w:t>投标人须在投标文件资格审查部分提供拟派技术负责人身份证、职称证及投标人本单位为其缴纳的养老保险证明材料。</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420" w:firstLineChars="200"/>
              <w:textAlignment w:val="auto"/>
              <w:rPr>
                <w:rFonts w:ascii="宋体" w:hAnsi="宋体"/>
                <w:szCs w:val="21"/>
                <w:highlight w:val="none"/>
              </w:rPr>
            </w:pPr>
            <w:r>
              <w:rPr>
                <w:rFonts w:ascii="宋体" w:hAnsi="宋体"/>
                <w:kern w:val="0"/>
                <w:szCs w:val="21"/>
                <w:highlight w:val="none"/>
              </w:rPr>
              <w:t>（2）</w:t>
            </w:r>
            <w:r>
              <w:rPr>
                <w:rFonts w:ascii="宋体" w:hAnsi="宋体"/>
                <w:szCs w:val="21"/>
                <w:highlight w:val="none"/>
              </w:rPr>
              <w:t>主要管理人员：</w:t>
            </w:r>
          </w:p>
          <w:p>
            <w:pPr>
              <w:keepNext w:val="0"/>
              <w:keepLines w:val="0"/>
              <w:pageBreakBefore w:val="0"/>
              <w:widowControl w:val="0"/>
              <w:kinsoku/>
              <w:wordWrap/>
              <w:overflowPunct/>
              <w:topLinePunct w:val="0"/>
              <w:autoSpaceDE w:val="0"/>
              <w:autoSpaceDN w:val="0"/>
              <w:bidi w:val="0"/>
              <w:adjustRightInd w:val="0"/>
              <w:spacing w:line="400" w:lineRule="exact"/>
              <w:ind w:left="0" w:right="0" w:firstLine="420" w:firstLineChars="200"/>
              <w:textAlignment w:val="auto"/>
              <w:rPr>
                <w:rFonts w:ascii="宋体" w:hAnsi="宋体"/>
                <w:szCs w:val="21"/>
                <w:highlight w:val="none"/>
              </w:rPr>
            </w:pPr>
            <w:r>
              <w:rPr>
                <w:rFonts w:hint="eastAsia" w:ascii="宋体" w:hAnsi="宋体"/>
                <w:szCs w:val="21"/>
                <w:highlight w:val="none"/>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招标人可取消其中标资格，给招标人造成损失的，投标人依法承担违约赔偿责任。</w:t>
            </w:r>
          </w:p>
          <w:p>
            <w:pPr>
              <w:keepNext w:val="0"/>
              <w:keepLines w:val="0"/>
              <w:pageBreakBefore w:val="0"/>
              <w:widowControl w:val="0"/>
              <w:kinsoku/>
              <w:wordWrap/>
              <w:overflowPunct/>
              <w:topLinePunct w:val="0"/>
              <w:autoSpaceDE w:val="0"/>
              <w:autoSpaceDN w:val="0"/>
              <w:bidi w:val="0"/>
              <w:adjustRightInd w:val="0"/>
              <w:spacing w:line="400" w:lineRule="exact"/>
              <w:ind w:left="0" w:right="0" w:firstLine="420" w:firstLineChars="200"/>
              <w:textAlignment w:val="auto"/>
              <w:rPr>
                <w:rFonts w:ascii="宋体" w:hAnsi="宋体"/>
                <w:szCs w:val="21"/>
                <w:highlight w:val="none"/>
              </w:rPr>
            </w:pPr>
            <w:r>
              <w:rPr>
                <w:rFonts w:hint="eastAsia" w:ascii="宋体" w:hAnsi="宋体"/>
                <w:szCs w:val="21"/>
                <w:highlight w:val="none"/>
              </w:rPr>
              <w:t>投标人须在投标文件资格审查部分提供承诺（承诺格式见第八章投标文件格式）。</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420" w:firstLineChars="200"/>
              <w:textAlignment w:val="auto"/>
              <w:rPr>
                <w:rFonts w:ascii="宋体" w:hAnsi="宋体"/>
                <w:kern w:val="0"/>
                <w:szCs w:val="21"/>
                <w:highlight w:val="none"/>
              </w:rPr>
            </w:pPr>
            <w:r>
              <w:rPr>
                <w:rFonts w:ascii="宋体" w:hAnsi="宋体"/>
                <w:kern w:val="0"/>
                <w:szCs w:val="21"/>
                <w:highlight w:val="none"/>
              </w:rPr>
              <w:t>（</w:t>
            </w:r>
            <w:r>
              <w:rPr>
                <w:rFonts w:hint="eastAsia" w:ascii="宋体" w:hAnsi="宋体"/>
                <w:kern w:val="0"/>
                <w:szCs w:val="21"/>
                <w:highlight w:val="none"/>
              </w:rPr>
              <w:t>3</w:t>
            </w:r>
            <w:r>
              <w:rPr>
                <w:rFonts w:ascii="宋体" w:hAnsi="宋体"/>
                <w:kern w:val="0"/>
                <w:szCs w:val="21"/>
                <w:highlight w:val="none"/>
              </w:rPr>
              <w:t>）委托代理人</w:t>
            </w:r>
            <w:r>
              <w:rPr>
                <w:rFonts w:hint="eastAsia" w:ascii="宋体" w:hAnsi="宋体"/>
                <w:kern w:val="0"/>
                <w:szCs w:val="21"/>
                <w:highlight w:val="none"/>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420" w:firstLineChars="200"/>
              <w:textAlignment w:val="auto"/>
              <w:rPr>
                <w:rFonts w:ascii="宋体" w:hAnsi="宋体"/>
                <w:kern w:val="0"/>
                <w:szCs w:val="21"/>
                <w:highlight w:val="none"/>
              </w:rPr>
            </w:pPr>
            <w:r>
              <w:rPr>
                <w:rFonts w:ascii="宋体" w:hAnsi="宋体"/>
                <w:kern w:val="0"/>
                <w:szCs w:val="21"/>
                <w:highlight w:val="none"/>
              </w:rPr>
              <w:t>委托代理人必须为投标人本单位</w:t>
            </w:r>
            <w:r>
              <w:rPr>
                <w:rFonts w:hint="eastAsia" w:ascii="宋体" w:hAnsi="宋体"/>
                <w:kern w:val="0"/>
                <w:szCs w:val="21"/>
                <w:highlight w:val="none"/>
              </w:rPr>
              <w:t>人员</w:t>
            </w:r>
            <w:r>
              <w:rPr>
                <w:rFonts w:ascii="宋体" w:hAnsi="宋体"/>
                <w:kern w:val="0"/>
                <w:szCs w:val="21"/>
                <w:highlight w:val="none"/>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420" w:firstLineChars="200"/>
              <w:textAlignment w:val="auto"/>
              <w:rPr>
                <w:rFonts w:ascii="宋体" w:hAnsi="宋体"/>
                <w:kern w:val="0"/>
                <w:szCs w:val="21"/>
                <w:highlight w:val="none"/>
              </w:rPr>
            </w:pPr>
            <w:r>
              <w:rPr>
                <w:rFonts w:hint="eastAsia" w:ascii="宋体" w:hAnsi="宋体"/>
                <w:kern w:val="0"/>
                <w:szCs w:val="21"/>
                <w:highlight w:val="none"/>
              </w:rPr>
              <w:t>投标人</w:t>
            </w:r>
            <w:r>
              <w:rPr>
                <w:rFonts w:ascii="宋体" w:hAnsi="宋体"/>
                <w:kern w:val="0"/>
                <w:szCs w:val="21"/>
                <w:highlight w:val="none"/>
              </w:rPr>
              <w:t>须</w:t>
            </w:r>
            <w:r>
              <w:rPr>
                <w:rFonts w:hint="eastAsia" w:ascii="宋体" w:hAnsi="宋体"/>
                <w:kern w:val="0"/>
                <w:szCs w:val="21"/>
                <w:highlight w:val="none"/>
              </w:rPr>
              <w:t>在投标文件资格审查部分</w:t>
            </w:r>
            <w:r>
              <w:rPr>
                <w:rFonts w:ascii="宋体" w:hAnsi="宋体"/>
                <w:kern w:val="0"/>
                <w:szCs w:val="21"/>
                <w:highlight w:val="none"/>
              </w:rPr>
              <w:t>提供</w:t>
            </w:r>
            <w:r>
              <w:rPr>
                <w:rFonts w:hint="eastAsia" w:ascii="宋体" w:hAnsi="宋体"/>
                <w:kern w:val="0"/>
                <w:szCs w:val="21"/>
                <w:highlight w:val="none"/>
              </w:rPr>
              <w:t>投标人为该</w:t>
            </w:r>
            <w:r>
              <w:rPr>
                <w:rFonts w:ascii="宋体" w:hAnsi="宋体"/>
                <w:kern w:val="0"/>
                <w:szCs w:val="21"/>
                <w:highlight w:val="none"/>
              </w:rPr>
              <w:t>委托代理人</w:t>
            </w:r>
            <w:r>
              <w:rPr>
                <w:rFonts w:hint="eastAsia" w:ascii="宋体" w:hAnsi="宋体"/>
                <w:kern w:val="0"/>
                <w:szCs w:val="21"/>
                <w:highlight w:val="none"/>
              </w:rPr>
              <w:t>缴纳的养老保险证明。否则，将由评标委员会作否决投标处理。</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417" w:firstLineChars="198"/>
              <w:textAlignment w:val="auto"/>
              <w:rPr>
                <w:rFonts w:ascii="宋体" w:hAnsi="宋体" w:cs="宋体"/>
                <w:b/>
                <w:szCs w:val="21"/>
                <w:highlight w:val="none"/>
              </w:rPr>
            </w:pPr>
            <w:r>
              <w:rPr>
                <w:rFonts w:hint="eastAsia" w:ascii="宋体" w:hAnsi="宋体" w:cs="宋体"/>
                <w:b/>
                <w:szCs w:val="21"/>
                <w:highlight w:val="none"/>
              </w:rPr>
              <w:t>特别说明：</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415" w:firstLineChars="198"/>
              <w:textAlignment w:val="auto"/>
              <w:rPr>
                <w:rFonts w:ascii="宋体" w:hAnsi="宋体" w:cs="宋体"/>
                <w:kern w:val="0"/>
                <w:szCs w:val="21"/>
                <w:highlight w:val="none"/>
              </w:rPr>
            </w:pP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rPr>
              <w:t>上述要求须提交的相关证明材料均为扫描件（原件或复印件的扫描件均可），扫描件须清晰可辨，</w:t>
            </w:r>
            <w:r>
              <w:rPr>
                <w:rFonts w:hint="eastAsia" w:ascii="宋体" w:hAnsi="宋体" w:cs="宋体"/>
                <w:kern w:val="0"/>
                <w:szCs w:val="21"/>
                <w:highlight w:val="none"/>
              </w:rPr>
              <w:t>有一条不满足，则投标文件由评标委员会</w:t>
            </w:r>
            <w:r>
              <w:rPr>
                <w:rFonts w:hint="eastAsia" w:ascii="宋体" w:hAnsi="宋体" w:cs="宋体"/>
                <w:szCs w:val="21"/>
                <w:highlight w:val="none"/>
              </w:rPr>
              <w:t>作否决投标处理</w:t>
            </w:r>
            <w:r>
              <w:rPr>
                <w:rFonts w:hint="eastAsia" w:ascii="宋体" w:hAnsi="宋体" w:cs="宋体"/>
                <w:kern w:val="0"/>
                <w:szCs w:val="21"/>
                <w:highlight w:val="none"/>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415" w:firstLineChars="198"/>
              <w:textAlignment w:val="auto"/>
              <w:rPr>
                <w:rFonts w:ascii="宋体" w:hAnsi="宋体" w:cs="宋体"/>
                <w:szCs w:val="21"/>
                <w:highlight w:val="none"/>
              </w:rPr>
            </w:pPr>
            <w:r>
              <w:rPr>
                <w:rFonts w:hint="eastAsia" w:ascii="宋体" w:hAnsi="宋体" w:cs="宋体"/>
                <w:szCs w:val="21"/>
                <w:highlight w:val="none"/>
              </w:rPr>
              <w:t>（2）投标人须自行承诺其提供的上述相关证明材料真实有效，不存在弄虚作假情形（格式见第八章投标文件格式）。招标人在合同签订前均有权对投标人提供的资料进行核实，若发现弄虚作假，取消其中标资格，并按相关法律法规报招标投标监督部门处理，其投标保证金不予退还，投标人承担因此造成的相关责任并赔偿相应损失。</w:t>
            </w:r>
          </w:p>
          <w:p>
            <w:pPr>
              <w:keepNext w:val="0"/>
              <w:keepLines w:val="0"/>
              <w:pageBreakBefore w:val="0"/>
              <w:widowControl w:val="0"/>
              <w:kinsoku/>
              <w:wordWrap/>
              <w:overflowPunct/>
              <w:topLinePunct w:val="0"/>
              <w:bidi w:val="0"/>
              <w:spacing w:line="400" w:lineRule="exact"/>
              <w:ind w:left="0" w:right="0" w:firstLine="420" w:firstLineChars="200"/>
              <w:textAlignment w:val="auto"/>
              <w:rPr>
                <w:rFonts w:ascii="宋体" w:hAnsi="宋体"/>
                <w:bCs/>
                <w:kern w:val="0"/>
                <w:szCs w:val="21"/>
                <w:highlight w:val="none"/>
              </w:rPr>
            </w:pPr>
            <w:r>
              <w:rPr>
                <w:rFonts w:hint="eastAsia" w:ascii="宋体" w:hAnsi="宋体"/>
                <w:bCs/>
                <w:kern w:val="0"/>
                <w:szCs w:val="21"/>
                <w:highlight w:val="none"/>
              </w:rPr>
              <w:t>（3）</w:t>
            </w:r>
            <w:r>
              <w:rPr>
                <w:rFonts w:ascii="宋体" w:hAnsi="宋体"/>
                <w:bCs/>
                <w:kern w:val="0"/>
                <w:szCs w:val="21"/>
                <w:highlight w:val="none"/>
              </w:rPr>
              <w:t>本招标文件中所要求的人员</w:t>
            </w:r>
            <w:r>
              <w:rPr>
                <w:rFonts w:hint="eastAsia" w:ascii="宋体" w:hAnsi="宋体"/>
                <w:bCs/>
                <w:kern w:val="0"/>
                <w:szCs w:val="21"/>
                <w:highlight w:val="none"/>
              </w:rPr>
              <w:t>养老保险</w:t>
            </w:r>
            <w:r>
              <w:rPr>
                <w:rFonts w:ascii="宋体" w:hAnsi="宋体"/>
                <w:bCs/>
                <w:kern w:val="0"/>
                <w:szCs w:val="21"/>
                <w:highlight w:val="none"/>
              </w:rPr>
              <w:t>证明要求如下：</w:t>
            </w:r>
          </w:p>
          <w:p>
            <w:pPr>
              <w:keepNext w:val="0"/>
              <w:keepLines w:val="0"/>
              <w:pageBreakBefore w:val="0"/>
              <w:widowControl w:val="0"/>
              <w:kinsoku/>
              <w:wordWrap/>
              <w:overflowPunct/>
              <w:topLinePunct w:val="0"/>
              <w:bidi w:val="0"/>
              <w:spacing w:line="400" w:lineRule="exact"/>
              <w:ind w:left="0" w:right="0" w:firstLine="420" w:firstLineChars="200"/>
              <w:textAlignment w:val="auto"/>
              <w:rPr>
                <w:rFonts w:ascii="宋体" w:hAnsi="宋体"/>
                <w:bCs/>
                <w:kern w:val="0"/>
                <w:szCs w:val="21"/>
                <w:highlight w:val="none"/>
              </w:rPr>
            </w:pPr>
            <w:r>
              <w:rPr>
                <w:rFonts w:ascii="宋体" w:hAnsi="宋体"/>
                <w:bCs/>
                <w:kern w:val="0"/>
                <w:szCs w:val="21"/>
                <w:highlight w:val="none"/>
              </w:rPr>
              <w:t>①社会单位提供</w:t>
            </w:r>
            <w:r>
              <w:rPr>
                <w:rFonts w:hint="eastAsia" w:ascii="宋体" w:hAnsi="宋体"/>
                <w:bCs/>
                <w:kern w:val="0"/>
                <w:szCs w:val="21"/>
                <w:highlight w:val="none"/>
              </w:rPr>
              <w:t>养老保险</w:t>
            </w:r>
            <w:r>
              <w:rPr>
                <w:rFonts w:ascii="宋体" w:hAnsi="宋体"/>
                <w:bCs/>
                <w:kern w:val="0"/>
                <w:szCs w:val="21"/>
                <w:highlight w:val="none"/>
              </w:rPr>
              <w:t>证明，事业单位提供</w:t>
            </w:r>
            <w:r>
              <w:rPr>
                <w:rFonts w:hint="eastAsia" w:ascii="宋体" w:hAnsi="宋体"/>
                <w:bCs/>
                <w:kern w:val="0"/>
                <w:szCs w:val="21"/>
                <w:highlight w:val="none"/>
              </w:rPr>
              <w:t>养老保险</w:t>
            </w:r>
            <w:r>
              <w:rPr>
                <w:rFonts w:ascii="宋体" w:hAnsi="宋体"/>
                <w:bCs/>
                <w:kern w:val="0"/>
                <w:szCs w:val="21"/>
                <w:highlight w:val="none"/>
              </w:rPr>
              <w:t>证明或行政主管部门在编证明。</w:t>
            </w:r>
          </w:p>
          <w:p>
            <w:pPr>
              <w:autoSpaceDE w:val="0"/>
              <w:autoSpaceDN w:val="0"/>
              <w:adjustRightInd w:val="0"/>
              <w:snapToGrid w:val="0"/>
              <w:spacing w:line="400" w:lineRule="exact"/>
              <w:ind w:firstLine="415" w:firstLineChars="198"/>
              <w:rPr>
                <w:rFonts w:hint="eastAsia" w:ascii="宋体" w:hAnsi="宋体" w:eastAsia="宋体" w:cs="宋体"/>
                <w:color w:val="auto"/>
                <w:sz w:val="21"/>
                <w:szCs w:val="21"/>
                <w:shd w:val="clear" w:color="auto" w:fill="FFFFFF"/>
                <w:lang w:val="en-US" w:eastAsia="zh-CN"/>
              </w:rPr>
            </w:pPr>
            <w:r>
              <w:rPr>
                <w:rFonts w:ascii="宋体" w:hAnsi="宋体"/>
                <w:bCs/>
                <w:kern w:val="0"/>
                <w:szCs w:val="21"/>
                <w:highlight w:val="none"/>
              </w:rPr>
              <w:t>②</w:t>
            </w:r>
            <w:r>
              <w:rPr>
                <w:rFonts w:hint="eastAsia" w:ascii="宋体" w:hAnsi="宋体"/>
                <w:bCs/>
                <w:snapToGrid w:val="0"/>
                <w:kern w:val="0"/>
                <w:szCs w:val="21"/>
                <w:highlight w:val="none"/>
              </w:rPr>
              <w:t>项目经理、</w:t>
            </w:r>
            <w:r>
              <w:rPr>
                <w:rFonts w:ascii="宋体" w:hAnsi="宋体"/>
                <w:bCs/>
                <w:snapToGrid w:val="0"/>
                <w:kern w:val="0"/>
                <w:szCs w:val="21"/>
                <w:highlight w:val="none"/>
              </w:rPr>
              <w:t>项目技术负责人和委托代理人的</w:t>
            </w:r>
            <w:r>
              <w:rPr>
                <w:rFonts w:hint="eastAsia" w:ascii="宋体" w:hAnsi="宋体"/>
                <w:bCs/>
                <w:snapToGrid w:val="0"/>
                <w:kern w:val="0"/>
                <w:szCs w:val="21"/>
                <w:highlight w:val="none"/>
              </w:rPr>
              <w:t>连续养老保险</w:t>
            </w:r>
            <w:r>
              <w:rPr>
                <w:rFonts w:ascii="宋体" w:hAnsi="宋体"/>
                <w:bCs/>
                <w:snapToGrid w:val="0"/>
                <w:kern w:val="0"/>
                <w:szCs w:val="21"/>
                <w:highlight w:val="none"/>
              </w:rPr>
              <w:t>证明期限为</w:t>
            </w:r>
            <w:r>
              <w:rPr>
                <w:rFonts w:hint="eastAsia" w:ascii="宋体" w:hAnsi="宋体"/>
                <w:bCs/>
                <w:snapToGrid w:val="0"/>
                <w:kern w:val="0"/>
                <w:szCs w:val="21"/>
                <w:highlight w:val="none"/>
                <w:u w:val="single"/>
              </w:rPr>
              <w:t>202</w:t>
            </w:r>
            <w:r>
              <w:rPr>
                <w:rFonts w:hint="eastAsia" w:ascii="宋体" w:hAnsi="宋体"/>
                <w:bCs/>
                <w:snapToGrid w:val="0"/>
                <w:kern w:val="0"/>
                <w:szCs w:val="21"/>
                <w:highlight w:val="none"/>
                <w:u w:val="single"/>
                <w:lang w:val="en-US" w:eastAsia="zh-CN"/>
              </w:rPr>
              <w:t>2</w:t>
            </w:r>
            <w:r>
              <w:rPr>
                <w:rFonts w:ascii="宋体" w:hAnsi="宋体"/>
                <w:bCs/>
                <w:snapToGrid w:val="0"/>
                <w:kern w:val="0"/>
                <w:szCs w:val="21"/>
                <w:highlight w:val="none"/>
              </w:rPr>
              <w:t>年</w:t>
            </w:r>
            <w:r>
              <w:rPr>
                <w:rFonts w:hint="eastAsia" w:ascii="宋体" w:hAnsi="宋体"/>
                <w:bCs/>
                <w:snapToGrid w:val="0"/>
                <w:kern w:val="0"/>
                <w:szCs w:val="21"/>
                <w:highlight w:val="none"/>
                <w:u w:val="single"/>
                <w:lang w:val="en-US" w:eastAsia="zh-CN"/>
              </w:rPr>
              <w:t>1</w:t>
            </w:r>
            <w:r>
              <w:rPr>
                <w:rFonts w:ascii="宋体" w:hAnsi="宋体"/>
                <w:bCs/>
                <w:snapToGrid w:val="0"/>
                <w:kern w:val="0"/>
                <w:szCs w:val="21"/>
                <w:highlight w:val="none"/>
              </w:rPr>
              <w:t>月至</w:t>
            </w:r>
            <w:r>
              <w:rPr>
                <w:rFonts w:hint="eastAsia" w:ascii="宋体" w:hAnsi="宋体"/>
                <w:bCs/>
                <w:snapToGrid w:val="0"/>
                <w:kern w:val="0"/>
                <w:szCs w:val="21"/>
                <w:highlight w:val="none"/>
                <w:u w:val="single"/>
              </w:rPr>
              <w:t>2022</w:t>
            </w:r>
            <w:r>
              <w:rPr>
                <w:rFonts w:ascii="宋体" w:hAnsi="宋体"/>
                <w:bCs/>
                <w:snapToGrid w:val="0"/>
                <w:kern w:val="0"/>
                <w:szCs w:val="21"/>
                <w:highlight w:val="none"/>
              </w:rPr>
              <w:t>年</w:t>
            </w:r>
            <w:r>
              <w:rPr>
                <w:rFonts w:hint="eastAsia" w:ascii="宋体" w:hAnsi="宋体"/>
                <w:bCs/>
                <w:snapToGrid w:val="0"/>
                <w:kern w:val="0"/>
                <w:szCs w:val="21"/>
                <w:highlight w:val="none"/>
                <w:u w:val="single"/>
                <w:lang w:val="en-US" w:eastAsia="zh-CN"/>
              </w:rPr>
              <w:t>6</w:t>
            </w:r>
            <w:r>
              <w:rPr>
                <w:rFonts w:ascii="宋体" w:hAnsi="宋体"/>
                <w:bCs/>
                <w:snapToGrid w:val="0"/>
                <w:kern w:val="0"/>
                <w:szCs w:val="21"/>
                <w:highlight w:val="none"/>
              </w:rPr>
              <w:t>月</w:t>
            </w:r>
            <w:r>
              <w:rPr>
                <w:rFonts w:hint="eastAsia" w:ascii="宋体" w:hAnsi="宋体"/>
                <w:bCs/>
                <w:szCs w:val="21"/>
                <w:highlight w:val="none"/>
              </w:rPr>
              <w:t>。提供的养老保险参保证明须体现上述人员的姓名、身份证号（或社保号）、单位名称、单位编号（或单位社保编号）、本单位参保时间（或起始参保时间），并带有社保部门公章或社保部门的有效电子印章。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35" w:type="dxa"/>
            <w:noWrap w:val="0"/>
            <w:vAlign w:val="center"/>
          </w:tcPr>
          <w:p>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kern w:val="0"/>
                <w:sz w:val="21"/>
                <w:szCs w:val="21"/>
              </w:rPr>
            </w:pPr>
            <w:r>
              <w:rPr>
                <w:rFonts w:ascii="宋体" w:hAnsi="宋体"/>
                <w:kern w:val="0"/>
                <w:szCs w:val="21"/>
                <w:highlight w:val="none"/>
              </w:rPr>
              <w:t>1.4.2</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 w:val="21"/>
                <w:szCs w:val="21"/>
              </w:rPr>
            </w:pPr>
            <w:r>
              <w:rPr>
                <w:rFonts w:ascii="宋体" w:hAnsi="宋体"/>
                <w:kern w:val="0"/>
                <w:szCs w:val="21"/>
                <w:highlight w:val="none"/>
              </w:rPr>
              <w:t>是否接受联合体投标</w:t>
            </w:r>
          </w:p>
        </w:tc>
        <w:tc>
          <w:tcPr>
            <w:tcW w:w="718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0" w:rightChars="0"/>
              <w:textAlignment w:val="auto"/>
              <w:rPr>
                <w:rFonts w:hint="eastAsia" w:ascii="宋体" w:hAnsi="宋体" w:eastAsia="宋体" w:cs="宋体"/>
                <w:color w:val="auto"/>
                <w:kern w:val="0"/>
                <w:sz w:val="21"/>
                <w:szCs w:val="21"/>
              </w:rPr>
            </w:pPr>
            <w:r>
              <w:rPr>
                <w:rFonts w:hint="eastAsia" w:ascii="宋体" w:hAnsi="宋体" w:eastAsia="宋体" w:cs="宋体"/>
                <w:kern w:val="2"/>
                <w:sz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35" w:type="dxa"/>
            <w:noWrap w:val="0"/>
            <w:vAlign w:val="center"/>
          </w:tcPr>
          <w:p>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kern w:val="0"/>
                <w:sz w:val="21"/>
                <w:szCs w:val="21"/>
              </w:rPr>
            </w:pPr>
            <w:r>
              <w:rPr>
                <w:rFonts w:ascii="宋体" w:hAnsi="宋体"/>
                <w:kern w:val="0"/>
                <w:szCs w:val="21"/>
                <w:highlight w:val="none"/>
              </w:rPr>
              <w:t>1.9.1</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 w:val="21"/>
                <w:szCs w:val="21"/>
              </w:rPr>
            </w:pPr>
            <w:r>
              <w:rPr>
                <w:rFonts w:ascii="宋体" w:hAnsi="宋体"/>
                <w:kern w:val="0"/>
                <w:szCs w:val="21"/>
                <w:highlight w:val="none"/>
              </w:rPr>
              <w:t>踏勘现场</w:t>
            </w:r>
          </w:p>
        </w:tc>
        <w:tc>
          <w:tcPr>
            <w:tcW w:w="718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0" w:rightChars="0"/>
              <w:textAlignment w:val="auto"/>
              <w:rPr>
                <w:rFonts w:hint="eastAsia" w:ascii="宋体" w:hAnsi="宋体" w:eastAsia="宋体" w:cs="宋体"/>
                <w:color w:val="auto"/>
                <w:kern w:val="0"/>
                <w:sz w:val="21"/>
                <w:szCs w:val="21"/>
              </w:rPr>
            </w:pPr>
            <w:r>
              <w:rPr>
                <w:rFonts w:hint="eastAsia" w:ascii="宋体" w:hAnsi="宋体" w:eastAsia="宋体" w:cs="宋体"/>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jc w:val="center"/>
        </w:trPr>
        <w:tc>
          <w:tcPr>
            <w:tcW w:w="1135" w:type="dxa"/>
            <w:noWrap w:val="0"/>
            <w:vAlign w:val="center"/>
          </w:tcPr>
          <w:p>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kern w:val="0"/>
                <w:sz w:val="21"/>
                <w:szCs w:val="21"/>
              </w:rPr>
            </w:pPr>
            <w:r>
              <w:rPr>
                <w:rFonts w:ascii="宋体" w:hAnsi="宋体"/>
                <w:kern w:val="0"/>
                <w:szCs w:val="21"/>
                <w:highlight w:val="none"/>
              </w:rPr>
              <w:t>1.10.1</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 w:val="21"/>
                <w:szCs w:val="21"/>
              </w:rPr>
            </w:pPr>
            <w:r>
              <w:rPr>
                <w:rFonts w:ascii="宋体" w:hAnsi="宋体"/>
                <w:kern w:val="0"/>
                <w:szCs w:val="21"/>
                <w:highlight w:val="none"/>
              </w:rPr>
              <w:t>投标预备会</w:t>
            </w:r>
          </w:p>
        </w:tc>
        <w:tc>
          <w:tcPr>
            <w:tcW w:w="718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0" w:rightChars="0"/>
              <w:textAlignment w:val="auto"/>
              <w:rPr>
                <w:rFonts w:hint="eastAsia" w:ascii="宋体" w:hAnsi="宋体" w:eastAsia="宋体" w:cs="宋体"/>
                <w:color w:val="auto"/>
                <w:kern w:val="0"/>
                <w:sz w:val="21"/>
                <w:szCs w:val="21"/>
              </w:rPr>
            </w:pPr>
            <w:r>
              <w:rPr>
                <w:rFonts w:hint="eastAsia" w:ascii="宋体" w:hAnsi="宋体" w:eastAsia="宋体" w:cs="宋体"/>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jc w:val="center"/>
        </w:trPr>
        <w:tc>
          <w:tcPr>
            <w:tcW w:w="1135" w:type="dxa"/>
            <w:noWrap w:val="0"/>
            <w:vAlign w:val="center"/>
          </w:tcPr>
          <w:p>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kern w:val="0"/>
                <w:sz w:val="21"/>
                <w:szCs w:val="21"/>
              </w:rPr>
            </w:pPr>
            <w:r>
              <w:rPr>
                <w:rFonts w:ascii="宋体" w:hAnsi="宋体"/>
                <w:kern w:val="0"/>
                <w:szCs w:val="21"/>
                <w:highlight w:val="none"/>
              </w:rPr>
              <w:t>1.11</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 w:val="21"/>
                <w:szCs w:val="21"/>
              </w:rPr>
            </w:pPr>
            <w:r>
              <w:rPr>
                <w:rFonts w:ascii="宋体" w:hAnsi="宋体"/>
                <w:kern w:val="0"/>
                <w:szCs w:val="21"/>
                <w:highlight w:val="none"/>
              </w:rPr>
              <w:t>分包</w:t>
            </w:r>
          </w:p>
        </w:tc>
        <w:tc>
          <w:tcPr>
            <w:tcW w:w="718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0" w:rightChars="0"/>
              <w:textAlignment w:val="auto"/>
              <w:rPr>
                <w:rFonts w:hint="eastAsia" w:ascii="宋体" w:hAnsi="宋体" w:eastAsia="宋体" w:cs="宋体"/>
                <w:color w:val="auto"/>
                <w:sz w:val="21"/>
                <w:szCs w:val="21"/>
              </w:rPr>
            </w:pPr>
            <w:r>
              <w:rPr>
                <w:rFonts w:hint="eastAsia"/>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noWrap w:val="0"/>
            <w:vAlign w:val="center"/>
          </w:tcPr>
          <w:p>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kern w:val="0"/>
                <w:sz w:val="21"/>
                <w:szCs w:val="21"/>
              </w:rPr>
            </w:pPr>
            <w:r>
              <w:rPr>
                <w:rFonts w:ascii="宋体" w:hAnsi="宋体"/>
                <w:kern w:val="0"/>
                <w:szCs w:val="21"/>
                <w:highlight w:val="none"/>
              </w:rPr>
              <w:t>2.1</w:t>
            </w:r>
          </w:p>
        </w:tc>
        <w:tc>
          <w:tcPr>
            <w:tcW w:w="1500" w:type="dxa"/>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kern w:val="0"/>
                <w:sz w:val="21"/>
                <w:szCs w:val="21"/>
              </w:rPr>
            </w:pPr>
            <w:r>
              <w:rPr>
                <w:rFonts w:ascii="宋体" w:hAnsi="宋体"/>
                <w:kern w:val="0"/>
                <w:szCs w:val="21"/>
                <w:highlight w:val="none"/>
              </w:rPr>
              <w:t>构成招标文件的其他材料</w:t>
            </w:r>
          </w:p>
        </w:tc>
        <w:tc>
          <w:tcPr>
            <w:tcW w:w="7189" w:type="dxa"/>
            <w:noWrap w:val="0"/>
            <w:vAlign w:val="center"/>
          </w:tcPr>
          <w:p>
            <w:pPr>
              <w:keepNext w:val="0"/>
              <w:keepLines w:val="0"/>
              <w:pageBreakBefore w:val="0"/>
              <w:widowControl w:val="0"/>
              <w:kinsoku/>
              <w:wordWrap/>
              <w:overflowPunct/>
              <w:topLinePunct w:val="0"/>
              <w:bidi w:val="0"/>
              <w:snapToGrid w:val="0"/>
              <w:spacing w:line="400" w:lineRule="exact"/>
              <w:ind w:right="0" w:rightChars="0"/>
              <w:textAlignment w:val="auto"/>
              <w:rPr>
                <w:rFonts w:hint="eastAsia" w:ascii="宋体" w:hAnsi="宋体" w:eastAsia="宋体" w:cs="宋体"/>
                <w:color w:val="auto"/>
                <w:sz w:val="21"/>
                <w:szCs w:val="21"/>
              </w:rPr>
            </w:pPr>
            <w:r>
              <w:rPr>
                <w:rFonts w:ascii="宋体" w:hAnsi="宋体"/>
                <w:szCs w:val="21"/>
                <w:highlight w:val="none"/>
              </w:rPr>
              <w:t>招标人发出的</w:t>
            </w:r>
            <w:r>
              <w:rPr>
                <w:rFonts w:hint="eastAsia" w:ascii="宋体" w:hAnsi="宋体"/>
                <w:szCs w:val="21"/>
                <w:highlight w:val="none"/>
              </w:rPr>
              <w:t>澄清</w:t>
            </w:r>
            <w:r>
              <w:rPr>
                <w:rFonts w:ascii="宋体" w:hAnsi="宋体"/>
                <w:szCs w:val="21"/>
                <w:highlight w:val="none"/>
              </w:rPr>
              <w:t>及</w:t>
            </w:r>
            <w:r>
              <w:rPr>
                <w:rFonts w:hint="eastAsia" w:ascii="宋体" w:hAnsi="宋体"/>
                <w:szCs w:val="21"/>
                <w:highlight w:val="none"/>
              </w:rPr>
              <w:t>修改</w:t>
            </w:r>
            <w:r>
              <w:rPr>
                <w:rFonts w:hint="eastAsia" w:ascii="宋体" w:hAnsi="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noWrap w:val="0"/>
            <w:vAlign w:val="center"/>
          </w:tcPr>
          <w:p>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kern w:val="0"/>
                <w:sz w:val="21"/>
                <w:szCs w:val="21"/>
              </w:rPr>
            </w:pPr>
            <w:r>
              <w:rPr>
                <w:rFonts w:hint="eastAsia" w:ascii="宋体" w:hAnsi="宋体"/>
                <w:kern w:val="0"/>
                <w:szCs w:val="21"/>
                <w:highlight w:val="none"/>
              </w:rPr>
              <w:t>2</w:t>
            </w:r>
            <w:r>
              <w:rPr>
                <w:rFonts w:ascii="宋体" w:hAnsi="宋体"/>
                <w:kern w:val="0"/>
                <w:szCs w:val="21"/>
                <w:highlight w:val="none"/>
              </w:rPr>
              <w:t>.</w:t>
            </w:r>
            <w:r>
              <w:rPr>
                <w:rFonts w:hint="eastAsia" w:ascii="宋体" w:hAnsi="宋体"/>
                <w:kern w:val="0"/>
                <w:szCs w:val="21"/>
                <w:highlight w:val="none"/>
              </w:rPr>
              <w:t>2</w:t>
            </w:r>
            <w:r>
              <w:rPr>
                <w:rFonts w:ascii="宋体" w:hAnsi="宋体"/>
                <w:kern w:val="0"/>
                <w:szCs w:val="21"/>
                <w:highlight w:val="none"/>
              </w:rPr>
              <w:t>.</w:t>
            </w:r>
            <w:r>
              <w:rPr>
                <w:rFonts w:hint="eastAsia" w:ascii="宋体" w:hAnsi="宋体"/>
                <w:kern w:val="0"/>
                <w:szCs w:val="21"/>
                <w:highlight w:val="none"/>
              </w:rPr>
              <w:t>1</w:t>
            </w:r>
          </w:p>
        </w:tc>
        <w:tc>
          <w:tcPr>
            <w:tcW w:w="1500" w:type="dxa"/>
            <w:noWrap w:val="0"/>
            <w:vAlign w:val="center"/>
          </w:tcPr>
          <w:p>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kern w:val="0"/>
                <w:sz w:val="21"/>
                <w:szCs w:val="21"/>
              </w:rPr>
            </w:pPr>
            <w:r>
              <w:rPr>
                <w:rFonts w:ascii="宋体" w:hAnsi="宋体"/>
                <w:kern w:val="0"/>
                <w:szCs w:val="21"/>
                <w:highlight w:val="none"/>
              </w:rPr>
              <w:t>投标人对招标文件提出</w:t>
            </w:r>
            <w:r>
              <w:rPr>
                <w:rFonts w:hint="eastAsia" w:ascii="宋体" w:hAnsi="宋体"/>
                <w:kern w:val="0"/>
                <w:szCs w:val="21"/>
                <w:highlight w:val="none"/>
              </w:rPr>
              <w:t>疑问</w:t>
            </w:r>
            <w:r>
              <w:rPr>
                <w:rFonts w:ascii="宋体" w:hAnsi="宋体"/>
                <w:kern w:val="0"/>
                <w:szCs w:val="21"/>
                <w:highlight w:val="none"/>
              </w:rPr>
              <w:t>的截止时间</w:t>
            </w:r>
          </w:p>
        </w:tc>
        <w:tc>
          <w:tcPr>
            <w:tcW w:w="7189" w:type="dxa"/>
            <w:noWrap w:val="0"/>
            <w:vAlign w:val="center"/>
          </w:tcPr>
          <w:p>
            <w:pPr>
              <w:keepNext w:val="0"/>
              <w:keepLines w:val="0"/>
              <w:pageBreakBefore w:val="0"/>
              <w:kinsoku/>
              <w:wordWrap/>
              <w:overflowPunct/>
              <w:topLinePunct w:val="0"/>
              <w:bidi w:val="0"/>
              <w:snapToGrid w:val="0"/>
              <w:spacing w:line="400" w:lineRule="exact"/>
              <w:ind w:left="0" w:leftChars="0" w:right="0" w:rightChars="0" w:firstLine="420" w:firstLineChars="200"/>
              <w:textAlignment w:val="auto"/>
              <w:rPr>
                <w:rFonts w:hint="eastAsia"/>
              </w:rPr>
            </w:pPr>
            <w:r>
              <w:t>投标人应仔细</w:t>
            </w:r>
            <w:r>
              <w:rPr>
                <w:rFonts w:hint="eastAsia"/>
              </w:rPr>
              <w:t>阅读</w:t>
            </w:r>
            <w:r>
              <w:t>招标文件</w:t>
            </w:r>
            <w:r>
              <w:rPr>
                <w:rFonts w:hint="eastAsia"/>
              </w:rPr>
              <w:t>及附件</w:t>
            </w:r>
            <w:r>
              <w:t>的所有内容，如有文字表述不清，图纸尺寸标注不明以及存在错、漏、缺、概念模糊和有可能出现歧义或理解上的偏差的内容等应</w:t>
            </w:r>
            <w:r>
              <w:rPr>
                <w:rFonts w:hint="eastAsia"/>
              </w:rPr>
              <w:t>在招标公告规定的时间</w:t>
            </w:r>
            <w:r>
              <w:t>前</w:t>
            </w:r>
            <w:r>
              <w:rPr>
                <w:rFonts w:hint="eastAsia"/>
                <w:lang w:val="en-US" w:eastAsia="zh-CN"/>
              </w:rPr>
              <w:t>提出</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135" w:type="dxa"/>
            <w:vMerge w:val="restart"/>
            <w:noWrap w:val="0"/>
            <w:vAlign w:val="center"/>
          </w:tcPr>
          <w:p>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kern w:val="0"/>
                <w:sz w:val="21"/>
                <w:szCs w:val="21"/>
              </w:rPr>
            </w:pPr>
            <w:r>
              <w:rPr>
                <w:rFonts w:ascii="宋体" w:hAnsi="宋体"/>
                <w:kern w:val="0"/>
                <w:szCs w:val="21"/>
                <w:highlight w:val="none"/>
              </w:rPr>
              <w:t>2.2.2</w:t>
            </w:r>
          </w:p>
        </w:tc>
        <w:tc>
          <w:tcPr>
            <w:tcW w:w="1500" w:type="dxa"/>
            <w:noWrap w:val="0"/>
            <w:vAlign w:val="center"/>
          </w:tcPr>
          <w:p>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kern w:val="0"/>
                <w:sz w:val="21"/>
                <w:szCs w:val="21"/>
              </w:rPr>
            </w:pPr>
            <w:r>
              <w:rPr>
                <w:rFonts w:ascii="宋体" w:hAnsi="宋体"/>
                <w:kern w:val="0"/>
                <w:szCs w:val="21"/>
                <w:highlight w:val="none"/>
              </w:rPr>
              <w:t>招标人对招标文件澄清的截止时间</w:t>
            </w:r>
          </w:p>
        </w:tc>
        <w:tc>
          <w:tcPr>
            <w:tcW w:w="7189" w:type="dxa"/>
            <w:noWrap w:val="0"/>
            <w:vAlign w:val="center"/>
          </w:tcPr>
          <w:p>
            <w:pPr>
              <w:keepNext w:val="0"/>
              <w:keepLines w:val="0"/>
              <w:pageBreakBefore w:val="0"/>
              <w:kinsoku/>
              <w:wordWrap/>
              <w:overflowPunct/>
              <w:topLinePunct w:val="0"/>
              <w:bidi w:val="0"/>
              <w:snapToGrid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szCs w:val="21"/>
                <w:highlight w:val="none"/>
              </w:rPr>
              <w:t>招标人应在招标公告规定的时间前</w:t>
            </w:r>
            <w:r>
              <w:rPr>
                <w:rFonts w:ascii="宋体" w:hAnsi="宋体"/>
                <w:szCs w:val="21"/>
                <w:highlight w:val="none"/>
              </w:rPr>
              <w:t>，</w:t>
            </w:r>
            <w:r>
              <w:rPr>
                <w:rFonts w:ascii="宋体" w:hAnsi="宋体"/>
                <w:kern w:val="0"/>
                <w:szCs w:val="21"/>
                <w:highlight w:val="none"/>
              </w:rPr>
              <w:t>在</w:t>
            </w:r>
            <w:r>
              <w:rPr>
                <w:rFonts w:hint="eastAsia" w:ascii="宋体" w:hAnsi="宋体"/>
                <w:kern w:val="0"/>
                <w:szCs w:val="21"/>
                <w:highlight w:val="none"/>
                <w:u w:val="single"/>
                <w:lang w:eastAsia="zh-CN"/>
              </w:rPr>
              <w:t>重庆安居古城网站（http://www.anjugc.cn/index.htm）</w:t>
            </w:r>
            <w:r>
              <w:rPr>
                <w:rFonts w:ascii="宋体" w:hAnsi="宋体"/>
                <w:kern w:val="0"/>
                <w:szCs w:val="21"/>
                <w:highlight w:val="none"/>
              </w:rPr>
              <w:t>发布</w:t>
            </w:r>
            <w:r>
              <w:rPr>
                <w:rFonts w:hint="eastAsia" w:ascii="宋体" w:hAnsi="宋体"/>
                <w:kern w:val="0"/>
                <w:szCs w:val="21"/>
                <w:highlight w:val="none"/>
              </w:rPr>
              <w:t>澄清</w:t>
            </w:r>
            <w:r>
              <w:rPr>
                <w:rFonts w:ascii="宋体" w:hAnsi="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5" w:type="dxa"/>
            <w:vMerge w:val="continue"/>
            <w:noWrap w:val="0"/>
            <w:vAlign w:val="center"/>
          </w:tcPr>
          <w:p>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kern w:val="0"/>
                <w:sz w:val="21"/>
                <w:szCs w:val="21"/>
              </w:rPr>
            </w:pPr>
          </w:p>
        </w:tc>
        <w:tc>
          <w:tcPr>
            <w:tcW w:w="1500" w:type="dxa"/>
            <w:noWrap w:val="0"/>
            <w:vAlign w:val="center"/>
          </w:tcPr>
          <w:p>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kern w:val="0"/>
                <w:sz w:val="21"/>
                <w:szCs w:val="21"/>
              </w:rPr>
            </w:pPr>
            <w:r>
              <w:rPr>
                <w:rFonts w:hint="eastAsia" w:ascii="宋体" w:hAnsi="宋体"/>
                <w:kern w:val="0"/>
                <w:szCs w:val="21"/>
                <w:highlight w:val="none"/>
              </w:rPr>
              <w:t>投标截止时间</w:t>
            </w:r>
          </w:p>
        </w:tc>
        <w:tc>
          <w:tcPr>
            <w:tcW w:w="7189" w:type="dxa"/>
            <w:noWrap w:val="0"/>
            <w:vAlign w:val="center"/>
          </w:tcPr>
          <w:p>
            <w:pPr>
              <w:keepNext w:val="0"/>
              <w:keepLines w:val="0"/>
              <w:pageBreakBefore w:val="0"/>
              <w:kinsoku/>
              <w:wordWrap/>
              <w:overflowPunct/>
              <w:topLinePunct w:val="0"/>
              <w:bidi w:val="0"/>
              <w:snapToGrid w:val="0"/>
              <w:spacing w:line="400" w:lineRule="exact"/>
              <w:ind w:right="0" w:rightChars="0"/>
              <w:textAlignment w:val="auto"/>
              <w:rPr>
                <w:rFonts w:hint="eastAsia" w:ascii="宋体" w:hAnsi="宋体" w:eastAsia="宋体" w:cs="宋体"/>
                <w:snapToGrid w:val="0"/>
                <w:color w:val="auto"/>
                <w:kern w:val="0"/>
                <w:sz w:val="21"/>
                <w:szCs w:val="21"/>
                <w:u w:val="single"/>
              </w:rPr>
            </w:pPr>
            <w:r>
              <w:rPr>
                <w:rFonts w:hint="eastAsia" w:ascii="宋体" w:hAnsi="宋体"/>
                <w:szCs w:val="21"/>
                <w:highlight w:val="none"/>
              </w:rPr>
              <w:t>详见招标公告规定的投标截止时间。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35" w:type="dxa"/>
            <w:noWrap w:val="0"/>
            <w:vAlign w:val="center"/>
          </w:tcPr>
          <w:p>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kern w:val="0"/>
                <w:sz w:val="21"/>
                <w:szCs w:val="21"/>
              </w:rPr>
            </w:pPr>
            <w:r>
              <w:rPr>
                <w:rFonts w:ascii="宋体" w:hAnsi="宋体"/>
                <w:kern w:val="0"/>
                <w:szCs w:val="21"/>
                <w:highlight w:val="none"/>
              </w:rPr>
              <w:t>2.2.3</w:t>
            </w:r>
          </w:p>
        </w:tc>
        <w:tc>
          <w:tcPr>
            <w:tcW w:w="1500" w:type="dxa"/>
            <w:noWrap w:val="0"/>
            <w:vAlign w:val="center"/>
          </w:tcPr>
          <w:p>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kern w:val="0"/>
                <w:sz w:val="21"/>
                <w:szCs w:val="21"/>
              </w:rPr>
            </w:pPr>
            <w:r>
              <w:rPr>
                <w:rFonts w:ascii="宋体" w:hAnsi="宋体"/>
                <w:kern w:val="0"/>
                <w:szCs w:val="21"/>
                <w:highlight w:val="none"/>
              </w:rPr>
              <w:t>招标人对招标文件进行</w:t>
            </w:r>
            <w:r>
              <w:rPr>
                <w:rFonts w:hint="eastAsia" w:ascii="宋体" w:hAnsi="宋体"/>
                <w:kern w:val="0"/>
                <w:szCs w:val="21"/>
                <w:highlight w:val="none"/>
              </w:rPr>
              <w:t>修改</w:t>
            </w:r>
            <w:r>
              <w:rPr>
                <w:rFonts w:ascii="宋体" w:hAnsi="宋体"/>
                <w:kern w:val="0"/>
                <w:szCs w:val="21"/>
                <w:highlight w:val="none"/>
              </w:rPr>
              <w:t>的时间</w:t>
            </w:r>
          </w:p>
        </w:tc>
        <w:tc>
          <w:tcPr>
            <w:tcW w:w="7189" w:type="dxa"/>
            <w:noWrap w:val="0"/>
            <w:vAlign w:val="center"/>
          </w:tcPr>
          <w:p>
            <w:pPr>
              <w:keepNext w:val="0"/>
              <w:keepLines w:val="0"/>
              <w:pageBreakBefore w:val="0"/>
              <w:kinsoku/>
              <w:wordWrap/>
              <w:overflowPunct/>
              <w:topLinePunct w:val="0"/>
              <w:bidi w:val="0"/>
              <w:snapToGrid w:val="0"/>
              <w:spacing w:line="400" w:lineRule="exact"/>
              <w:ind w:left="0" w:leftChars="0" w:right="0" w:rightChars="0" w:firstLine="420" w:firstLineChars="200"/>
              <w:textAlignment w:val="auto"/>
              <w:rPr>
                <w:rFonts w:hint="eastAsia" w:ascii="宋体" w:hAnsi="宋体" w:eastAsia="宋体" w:cs="宋体"/>
                <w:color w:val="auto"/>
                <w:kern w:val="0"/>
                <w:sz w:val="21"/>
                <w:szCs w:val="21"/>
              </w:rPr>
            </w:pPr>
            <w:r>
              <w:rPr>
                <w:rFonts w:hint="eastAsia" w:ascii="宋体" w:hAnsi="宋体"/>
                <w:snapToGrid w:val="0"/>
                <w:kern w:val="0"/>
                <w:szCs w:val="21"/>
                <w:highlight w:val="none"/>
              </w:rPr>
              <w:t>修改</w:t>
            </w:r>
            <w:r>
              <w:rPr>
                <w:rFonts w:ascii="宋体" w:hAnsi="宋体"/>
                <w:snapToGrid w:val="0"/>
                <w:kern w:val="0"/>
                <w:szCs w:val="21"/>
                <w:highlight w:val="none"/>
              </w:rPr>
              <w:t>内容可能影响投标文件编制的，须在投标截止时间</w:t>
            </w:r>
            <w:r>
              <w:rPr>
                <w:rFonts w:hint="eastAsia" w:ascii="宋体" w:hAnsi="宋体"/>
                <w:snapToGrid w:val="0"/>
                <w:kern w:val="0"/>
                <w:szCs w:val="21"/>
                <w:highlight w:val="none"/>
                <w:lang w:val="en-US" w:eastAsia="zh-CN"/>
              </w:rPr>
              <w:t>3</w:t>
            </w:r>
            <w:r>
              <w:rPr>
                <w:rFonts w:ascii="宋体" w:hAnsi="宋体"/>
                <w:snapToGrid w:val="0"/>
                <w:kern w:val="0"/>
                <w:szCs w:val="21"/>
                <w:highlight w:val="none"/>
              </w:rPr>
              <w:t>日前发布，发布时间至投标截止时间不足</w:t>
            </w:r>
            <w:r>
              <w:rPr>
                <w:rFonts w:hint="eastAsia" w:ascii="宋体" w:hAnsi="宋体"/>
                <w:snapToGrid w:val="0"/>
                <w:kern w:val="0"/>
                <w:szCs w:val="21"/>
                <w:highlight w:val="none"/>
                <w:lang w:val="en-US" w:eastAsia="zh-CN"/>
              </w:rPr>
              <w:t>3</w:t>
            </w:r>
            <w:r>
              <w:rPr>
                <w:rFonts w:ascii="宋体" w:hAnsi="宋体"/>
                <w:snapToGrid w:val="0"/>
                <w:kern w:val="0"/>
                <w:szCs w:val="21"/>
                <w:highlight w:val="none"/>
              </w:rPr>
              <w:t>日的，须相应延后投标截止时间。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noWrap w:val="0"/>
            <w:vAlign w:val="center"/>
          </w:tcPr>
          <w:p>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kern w:val="0"/>
                <w:sz w:val="21"/>
                <w:szCs w:val="21"/>
              </w:rPr>
            </w:pPr>
            <w:r>
              <w:rPr>
                <w:rFonts w:ascii="宋体" w:hAnsi="宋体"/>
                <w:kern w:val="0"/>
                <w:szCs w:val="21"/>
                <w:highlight w:val="none"/>
              </w:rPr>
              <w:t>3.1.1</w:t>
            </w:r>
          </w:p>
        </w:tc>
        <w:tc>
          <w:tcPr>
            <w:tcW w:w="1500" w:type="dxa"/>
            <w:noWrap w:val="0"/>
            <w:vAlign w:val="center"/>
          </w:tcPr>
          <w:p>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kern w:val="0"/>
                <w:sz w:val="21"/>
                <w:szCs w:val="21"/>
              </w:rPr>
            </w:pPr>
            <w:r>
              <w:rPr>
                <w:rFonts w:ascii="宋体" w:hAnsi="宋体"/>
                <w:kern w:val="0"/>
                <w:szCs w:val="21"/>
                <w:highlight w:val="none"/>
              </w:rPr>
              <w:t>构成投标文件的其他材料</w:t>
            </w:r>
          </w:p>
        </w:tc>
        <w:tc>
          <w:tcPr>
            <w:tcW w:w="7189" w:type="dxa"/>
            <w:noWrap w:val="0"/>
            <w:vAlign w:val="center"/>
          </w:tcPr>
          <w:p>
            <w:pPr>
              <w:keepNext w:val="0"/>
              <w:keepLines w:val="0"/>
              <w:pageBreakBefore w:val="0"/>
              <w:kinsoku/>
              <w:wordWrap/>
              <w:overflowPunct/>
              <w:topLinePunct w:val="0"/>
              <w:bidi w:val="0"/>
              <w:snapToGrid w:val="0"/>
              <w:spacing w:line="400" w:lineRule="exact"/>
              <w:ind w:left="0" w:leftChars="0" w:right="0" w:rightChars="0" w:firstLine="420" w:firstLineChars="200"/>
              <w:textAlignment w:val="auto"/>
              <w:rPr>
                <w:rFonts w:hint="eastAsia" w:ascii="宋体" w:hAnsi="宋体" w:eastAsia="宋体" w:cs="宋体"/>
                <w:color w:val="auto"/>
                <w:kern w:val="0"/>
                <w:sz w:val="21"/>
                <w:szCs w:val="21"/>
              </w:rPr>
            </w:pPr>
            <w:r>
              <w:rPr>
                <w:rFonts w:ascii="宋体" w:hAnsi="宋体"/>
                <w:szCs w:val="21"/>
                <w:highlight w:val="none"/>
              </w:rPr>
              <w:t>投标人的书面澄清、说明和补正（但不得改变投标文件的实质性内容）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noWrap w:val="0"/>
            <w:vAlign w:val="center"/>
          </w:tcPr>
          <w:p>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kern w:val="0"/>
                <w:sz w:val="21"/>
                <w:szCs w:val="21"/>
              </w:rPr>
            </w:pPr>
            <w:r>
              <w:rPr>
                <w:rFonts w:hint="eastAsia" w:ascii="宋体" w:hAnsi="宋体"/>
                <w:kern w:val="0"/>
                <w:szCs w:val="21"/>
                <w:highlight w:val="none"/>
              </w:rPr>
              <w:t>3.2</w:t>
            </w:r>
          </w:p>
        </w:tc>
        <w:tc>
          <w:tcPr>
            <w:tcW w:w="1500" w:type="dxa"/>
            <w:noWrap w:val="0"/>
            <w:vAlign w:val="center"/>
          </w:tcPr>
          <w:p>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kern w:val="0"/>
                <w:sz w:val="21"/>
                <w:szCs w:val="21"/>
              </w:rPr>
            </w:pPr>
            <w:r>
              <w:rPr>
                <w:rFonts w:ascii="宋体" w:hAnsi="宋体"/>
                <w:kern w:val="0"/>
                <w:szCs w:val="21"/>
                <w:highlight w:val="none"/>
              </w:rPr>
              <w:t>投标报价</w:t>
            </w:r>
          </w:p>
        </w:tc>
        <w:tc>
          <w:tcPr>
            <w:tcW w:w="7189" w:type="dxa"/>
            <w:noWrap w:val="0"/>
            <w:vAlign w:val="center"/>
          </w:tcPr>
          <w:p>
            <w:pPr>
              <w:pStyle w:val="3"/>
              <w:keepNext w:val="0"/>
              <w:keepLines w:val="0"/>
              <w:pageBreakBefore w:val="0"/>
              <w:tabs>
                <w:tab w:val="left" w:pos="546"/>
                <w:tab w:val="left" w:pos="711"/>
              </w:tabs>
              <w:kinsoku/>
              <w:wordWrap/>
              <w:overflowPunct/>
              <w:topLinePunct w:val="0"/>
              <w:bidi w:val="0"/>
              <w:snapToGrid w:val="0"/>
              <w:spacing w:after="0" w:line="400" w:lineRule="exact"/>
              <w:ind w:left="0" w:right="0" w:firstLine="420" w:firstLineChars="200"/>
              <w:textAlignment w:val="auto"/>
              <w:rPr>
                <w:rFonts w:hint="eastAsia" w:ascii="宋体" w:hAnsi="宋体" w:eastAsia="宋体" w:cs="宋体"/>
                <w:highlight w:val="none"/>
              </w:rPr>
            </w:pPr>
            <w:r>
              <w:rPr>
                <w:rFonts w:hint="eastAsia" w:ascii="宋体" w:hAnsi="宋体" w:eastAsia="宋体" w:cs="宋体"/>
                <w:highlight w:val="none"/>
              </w:rPr>
              <w:t>1.使用国有资金投资的建设工程发承包，必须采用工程量清单计价。工程量清单应采用综合单价计价。</w:t>
            </w:r>
          </w:p>
          <w:p>
            <w:pPr>
              <w:pStyle w:val="3"/>
              <w:keepNext w:val="0"/>
              <w:keepLines w:val="0"/>
              <w:pageBreakBefore w:val="0"/>
              <w:tabs>
                <w:tab w:val="left" w:pos="546"/>
                <w:tab w:val="left" w:pos="711"/>
              </w:tabs>
              <w:kinsoku/>
              <w:wordWrap/>
              <w:overflowPunct/>
              <w:topLinePunct w:val="0"/>
              <w:bidi w:val="0"/>
              <w:snapToGrid w:val="0"/>
              <w:spacing w:after="0" w:line="400" w:lineRule="exact"/>
              <w:ind w:left="6" w:leftChars="3" w:right="0" w:firstLine="420" w:firstLineChars="200"/>
              <w:textAlignment w:val="auto"/>
              <w:rPr>
                <w:rFonts w:hint="eastAsia" w:ascii="宋体" w:hAnsi="宋体" w:eastAsia="宋体" w:cs="宋体"/>
                <w:highlight w:val="none"/>
              </w:rPr>
            </w:pPr>
            <w:r>
              <w:rPr>
                <w:rFonts w:hint="eastAsia" w:ascii="宋体" w:hAnsi="宋体" w:eastAsia="宋体" w:cs="宋体"/>
                <w:highlight w:val="none"/>
              </w:rPr>
              <w:t>2.投标人应按《建设工程工程量清单计价规范》（GB50500-2013）及重庆市相关工程量清单计价规则的要求填写相应清单表格。投标人应按本须知、《重庆市建设工程费用定额》（CQFYDE-2018）、《重庆市住房和城乡建设委员会关于适用增值税新税率调整建设工程计价依据的通知》（渝建〔2019〕143号）和第五章“工程量清单”的要求填写相应清单表格。投标人的投标报价应是本章投标人须知前附表第1.3.1项中所述的本工程合同段招标范围内的全部工程的投标报价，并以投标人在工程量清单中提出的单价或总价为依据。</w:t>
            </w:r>
          </w:p>
          <w:p>
            <w:pPr>
              <w:keepNext w:val="0"/>
              <w:keepLines w:val="0"/>
              <w:pageBreakBefore w:val="0"/>
              <w:tabs>
                <w:tab w:val="left" w:pos="546"/>
                <w:tab w:val="left" w:pos="711"/>
              </w:tabs>
              <w:kinsoku/>
              <w:wordWrap/>
              <w:overflowPunct/>
              <w:topLinePunct w:val="0"/>
              <w:bidi w:val="0"/>
              <w:snapToGrid w:val="0"/>
              <w:spacing w:line="400" w:lineRule="exact"/>
              <w:ind w:left="6" w:leftChars="3" w:right="0" w:firstLine="420" w:firstLineChars="200"/>
              <w:textAlignment w:val="auto"/>
              <w:rPr>
                <w:rFonts w:hint="eastAsia" w:ascii="宋体" w:hAnsi="宋体" w:eastAsia="宋体" w:cs="宋体"/>
                <w:highlight w:val="none"/>
              </w:rPr>
            </w:pPr>
            <w:r>
              <w:rPr>
                <w:rFonts w:hint="eastAsia" w:ascii="宋体" w:hAnsi="宋体" w:eastAsia="宋体" w:cs="宋体"/>
                <w:highlight w:val="none"/>
              </w:rPr>
              <w:t>3.投标人应认真填写工程量清单中所列的本合同各工程子目的单价或总价。投标人没有填入单价或总价的工程子目，招标人将认为该子目的价款已包括在工程量清单其他子目的单价和总价中。投标人必须按招标工程量清单填报价格。项目编码、项目名称、项目特征、计量单位、工程量必须与招标工程量清单一致。否则交由评标委员会作否决投标处理。</w:t>
            </w:r>
          </w:p>
          <w:p>
            <w:pPr>
              <w:keepNext w:val="0"/>
              <w:keepLines w:val="0"/>
              <w:pageBreakBefore w:val="0"/>
              <w:tabs>
                <w:tab w:val="left" w:pos="546"/>
                <w:tab w:val="left" w:pos="711"/>
              </w:tabs>
              <w:kinsoku/>
              <w:wordWrap/>
              <w:overflowPunct/>
              <w:topLinePunct w:val="0"/>
              <w:bidi w:val="0"/>
              <w:snapToGrid w:val="0"/>
              <w:spacing w:line="400" w:lineRule="exact"/>
              <w:ind w:left="6" w:leftChars="3" w:right="0" w:firstLine="420" w:firstLineChars="200"/>
              <w:textAlignment w:val="auto"/>
              <w:rPr>
                <w:rFonts w:hint="eastAsia" w:ascii="宋体" w:hAnsi="宋体" w:eastAsia="宋体" w:cs="宋体"/>
                <w:highlight w:val="none"/>
              </w:rPr>
            </w:pPr>
            <w:r>
              <w:rPr>
                <w:rFonts w:hint="eastAsia" w:ascii="宋体" w:hAnsi="宋体" w:eastAsia="宋体" w:cs="宋体"/>
                <w:highlight w:val="none"/>
              </w:rPr>
              <w:t>注：评标过程中，评标委员会可以运用评标系统辅助工具对投标人投标工程量清单进行清标。当清标结果显红时，评标委员会应深入了解显红的原因后，对照招标文件否决投标情况一览表的规定，对确实不满足招标文件相关要求的，方可作否决投标处理。</w:t>
            </w:r>
          </w:p>
          <w:p>
            <w:pPr>
              <w:keepNext w:val="0"/>
              <w:keepLines w:val="0"/>
              <w:pageBreakBefore w:val="0"/>
              <w:tabs>
                <w:tab w:val="left" w:pos="546"/>
                <w:tab w:val="left" w:pos="711"/>
              </w:tabs>
              <w:kinsoku/>
              <w:wordWrap/>
              <w:overflowPunct/>
              <w:topLinePunct w:val="0"/>
              <w:bidi w:val="0"/>
              <w:snapToGrid w:val="0"/>
              <w:spacing w:line="400" w:lineRule="exact"/>
              <w:ind w:left="6" w:leftChars="3" w:right="0" w:firstLine="420" w:firstLineChars="200"/>
              <w:textAlignment w:val="auto"/>
              <w:rPr>
                <w:rFonts w:hint="eastAsia" w:ascii="宋体" w:hAnsi="宋体" w:eastAsia="宋体" w:cs="宋体"/>
                <w:highlight w:val="none"/>
              </w:rPr>
            </w:pPr>
            <w:r>
              <w:rPr>
                <w:rFonts w:hint="eastAsia" w:ascii="宋体" w:hAnsi="宋体" w:eastAsia="宋体" w:cs="宋体"/>
                <w:highlight w:val="none"/>
              </w:rPr>
              <w:t>4.投标函中的总报价必须与已标价工程量清单总报价一致</w:t>
            </w:r>
            <w:r>
              <w:rPr>
                <w:rFonts w:hint="eastAsia" w:ascii="宋体" w:hAnsi="宋体" w:eastAsia="宋体" w:cs="宋体"/>
                <w:highlight w:val="none"/>
                <w:lang w:eastAsia="zh-CN"/>
              </w:rPr>
              <w:t>，</w:t>
            </w:r>
            <w:r>
              <w:rPr>
                <w:rFonts w:hint="eastAsia" w:ascii="宋体" w:hAnsi="宋体" w:eastAsia="宋体" w:cs="宋体"/>
                <w:highlight w:val="none"/>
              </w:rPr>
              <w:t>且工程量清单总报价与依据单价、工程数量、分部分项工程合价计算出的结果应一致，否则由评标委员会作否决投标处理。</w:t>
            </w:r>
          </w:p>
          <w:p>
            <w:pPr>
              <w:pStyle w:val="3"/>
              <w:keepNext w:val="0"/>
              <w:keepLines w:val="0"/>
              <w:pageBreakBefore w:val="0"/>
              <w:tabs>
                <w:tab w:val="left" w:pos="546"/>
                <w:tab w:val="left" w:pos="711"/>
              </w:tabs>
              <w:kinsoku/>
              <w:wordWrap/>
              <w:overflowPunct/>
              <w:topLinePunct w:val="0"/>
              <w:bidi w:val="0"/>
              <w:snapToGrid w:val="0"/>
              <w:spacing w:after="0" w:line="400" w:lineRule="exact"/>
              <w:ind w:left="6" w:leftChars="3" w:right="0" w:firstLine="420" w:firstLineChars="200"/>
              <w:textAlignment w:val="auto"/>
              <w:rPr>
                <w:rFonts w:hint="eastAsia" w:ascii="宋体" w:hAnsi="宋体" w:eastAsia="宋体" w:cs="宋体"/>
                <w:highlight w:val="none"/>
              </w:rPr>
            </w:pPr>
            <w:r>
              <w:rPr>
                <w:rFonts w:hint="eastAsia" w:ascii="宋体" w:hAnsi="宋体" w:eastAsia="宋体" w:cs="宋体"/>
                <w:highlight w:val="none"/>
              </w:rPr>
              <w:t>5.（1）在合同实施期间，单价和总价</w:t>
            </w:r>
            <w:r>
              <w:rPr>
                <w:rFonts w:hint="eastAsia" w:ascii="宋体" w:hAnsi="宋体" w:eastAsia="宋体" w:cs="宋体"/>
                <w:color w:val="auto"/>
                <w:highlight w:val="none"/>
                <w:u w:val="none"/>
                <w:lang w:val="en-US" w:eastAsia="zh-CN"/>
              </w:rPr>
              <w:t>不</w:t>
            </w:r>
            <w:r>
              <w:rPr>
                <w:rFonts w:hint="eastAsia" w:ascii="宋体" w:hAnsi="宋体" w:eastAsia="宋体" w:cs="宋体"/>
                <w:color w:val="auto"/>
                <w:highlight w:val="none"/>
                <w:u w:val="none"/>
              </w:rPr>
              <w:t>调整</w:t>
            </w:r>
            <w:r>
              <w:rPr>
                <w:rFonts w:hint="eastAsia" w:ascii="宋体" w:hAnsi="宋体" w:eastAsia="宋体" w:cs="宋体"/>
                <w:highlight w:val="none"/>
              </w:rPr>
              <w:t>。</w:t>
            </w:r>
          </w:p>
          <w:p>
            <w:pPr>
              <w:pStyle w:val="3"/>
              <w:keepNext w:val="0"/>
              <w:keepLines w:val="0"/>
              <w:pageBreakBefore w:val="0"/>
              <w:tabs>
                <w:tab w:val="left" w:pos="546"/>
                <w:tab w:val="left" w:pos="711"/>
              </w:tabs>
              <w:kinsoku/>
              <w:wordWrap/>
              <w:overflowPunct/>
              <w:topLinePunct w:val="0"/>
              <w:bidi w:val="0"/>
              <w:snapToGrid w:val="0"/>
              <w:spacing w:after="0" w:line="400" w:lineRule="exact"/>
              <w:ind w:left="6" w:leftChars="3" w:right="0" w:firstLine="420" w:firstLineChars="200"/>
              <w:textAlignment w:val="auto"/>
              <w:rPr>
                <w:rFonts w:hint="eastAsia" w:ascii="宋体" w:hAnsi="宋体" w:eastAsia="宋体" w:cs="宋体"/>
                <w:highlight w:val="none"/>
              </w:rPr>
            </w:pPr>
            <w:r>
              <w:rPr>
                <w:rFonts w:hint="eastAsia" w:ascii="宋体" w:hAnsi="宋体" w:eastAsia="宋体" w:cs="宋体"/>
                <w:highlight w:val="none"/>
              </w:rPr>
              <w:t>（2）增值税计税方法由招标人依据国家税法规定选择：</w:t>
            </w:r>
          </w:p>
          <w:p>
            <w:pPr>
              <w:pStyle w:val="3"/>
              <w:keepNext w:val="0"/>
              <w:keepLines w:val="0"/>
              <w:pageBreakBefore w:val="0"/>
              <w:tabs>
                <w:tab w:val="left" w:pos="546"/>
                <w:tab w:val="left" w:pos="711"/>
              </w:tabs>
              <w:kinsoku/>
              <w:wordWrap/>
              <w:overflowPunct/>
              <w:topLinePunct w:val="0"/>
              <w:bidi w:val="0"/>
              <w:snapToGrid w:val="0"/>
              <w:spacing w:after="0" w:line="400" w:lineRule="exact"/>
              <w:ind w:left="6" w:leftChars="3" w:right="0" w:firstLine="420" w:firstLineChars="200"/>
              <w:textAlignment w:val="auto"/>
              <w:rPr>
                <w:rFonts w:hint="eastAsia" w:ascii="宋体" w:hAnsi="宋体" w:eastAsia="宋体" w:cs="宋体"/>
                <w:highlight w:val="none"/>
              </w:rPr>
            </w:pPr>
            <w:r>
              <w:rPr>
                <w:rFonts w:hint="eastAsia" w:ascii="宋体" w:hAnsi="宋体" w:eastAsia="宋体" w:cs="宋体"/>
                <w:highlight w:val="none"/>
              </w:rPr>
              <w:t>一般计税法</w:t>
            </w:r>
          </w:p>
          <w:p>
            <w:pPr>
              <w:pStyle w:val="3"/>
              <w:keepNext w:val="0"/>
              <w:keepLines w:val="0"/>
              <w:pageBreakBefore w:val="0"/>
              <w:tabs>
                <w:tab w:val="left" w:pos="546"/>
                <w:tab w:val="left" w:pos="711"/>
              </w:tabs>
              <w:kinsoku/>
              <w:wordWrap/>
              <w:overflowPunct/>
              <w:topLinePunct w:val="0"/>
              <w:bidi w:val="0"/>
              <w:snapToGrid w:val="0"/>
              <w:spacing w:after="0" w:line="400" w:lineRule="exact"/>
              <w:ind w:right="0" w:firstLine="420" w:firstLineChars="200"/>
              <w:textAlignment w:val="auto"/>
              <w:rPr>
                <w:rFonts w:hint="eastAsia" w:ascii="宋体" w:hAnsi="宋体" w:eastAsia="宋体" w:cs="宋体"/>
                <w:highlight w:val="none"/>
              </w:rPr>
            </w:pPr>
            <w:r>
              <w:rPr>
                <w:rFonts w:hint="eastAsia" w:ascii="宋体" w:hAnsi="宋体" w:eastAsia="宋体" w:cs="宋体"/>
                <w:highlight w:val="none"/>
              </w:rPr>
              <w:t>6.如发现工程量清单中的数量与图纸中数量不一致，应于本须知第2.2.1项中规定的时间前书面通知招标人核查，除非招标人以修改的形式予以更正，否则，应以工程量清单中列出的</w:t>
            </w:r>
            <w:r>
              <w:rPr>
                <w:rFonts w:hint="eastAsia" w:ascii="宋体" w:hAnsi="宋体" w:eastAsia="宋体" w:cs="宋体"/>
                <w:highlight w:val="none"/>
                <w:lang w:val="en-US" w:eastAsia="zh-CN"/>
              </w:rPr>
              <w:t>数量</w:t>
            </w:r>
            <w:r>
              <w:rPr>
                <w:rFonts w:hint="eastAsia" w:ascii="宋体" w:hAnsi="宋体" w:eastAsia="宋体" w:cs="宋体"/>
                <w:highlight w:val="none"/>
              </w:rPr>
              <w:t>为准。</w:t>
            </w:r>
          </w:p>
          <w:p>
            <w:pPr>
              <w:keepNext w:val="0"/>
              <w:keepLines w:val="0"/>
              <w:pageBreakBefore w:val="0"/>
              <w:tabs>
                <w:tab w:val="left" w:pos="546"/>
                <w:tab w:val="left" w:pos="711"/>
              </w:tabs>
              <w:kinsoku/>
              <w:wordWrap/>
              <w:overflowPunct/>
              <w:topLinePunct w:val="0"/>
              <w:bidi w:val="0"/>
              <w:snapToGrid w:val="0"/>
              <w:spacing w:line="400" w:lineRule="exact"/>
              <w:ind w:left="0" w:right="0" w:firstLine="420" w:firstLineChars="200"/>
              <w:textAlignment w:val="auto"/>
              <w:rPr>
                <w:rFonts w:hint="eastAsia" w:ascii="宋体" w:hAnsi="宋体" w:eastAsia="宋体" w:cs="宋体"/>
                <w:highlight w:val="none"/>
              </w:rPr>
            </w:pPr>
            <w:r>
              <w:rPr>
                <w:rFonts w:hint="eastAsia" w:ascii="宋体" w:hAnsi="宋体" w:eastAsia="宋体" w:cs="宋体"/>
                <w:highlight w:val="none"/>
              </w:rPr>
              <w:t>7.招标人在工程量清单中所列出的价格（包括暂列金额、暂估价等），投标人不得修改，否则由评标委员会作否决投标处理。</w:t>
            </w:r>
          </w:p>
          <w:p>
            <w:pPr>
              <w:keepNext w:val="0"/>
              <w:keepLines w:val="0"/>
              <w:pageBreakBefore w:val="0"/>
              <w:tabs>
                <w:tab w:val="left" w:pos="546"/>
                <w:tab w:val="left" w:pos="711"/>
              </w:tabs>
              <w:kinsoku/>
              <w:wordWrap/>
              <w:overflowPunct/>
              <w:topLinePunct w:val="0"/>
              <w:bidi w:val="0"/>
              <w:snapToGrid w:val="0"/>
              <w:spacing w:line="400" w:lineRule="exact"/>
              <w:ind w:left="0" w:right="0"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8.本工程招标将设置投标总报价最高限价，投标总报价最高限价</w:t>
            </w:r>
            <w:r>
              <w:rPr>
                <w:rFonts w:hint="eastAsia" w:ascii="宋体" w:hAnsi="宋体" w:cs="宋体"/>
                <w:szCs w:val="21"/>
                <w:highlight w:val="none"/>
                <w:lang w:val="en-US" w:eastAsia="zh-CN"/>
              </w:rPr>
              <w:t>为：</w:t>
            </w:r>
            <w:r>
              <w:rPr>
                <w:rFonts w:hint="eastAsia" w:ascii="宋体" w:hAnsi="宋体" w:cs="宋体"/>
                <w:b/>
                <w:bCs/>
                <w:szCs w:val="21"/>
                <w:highlight w:val="none"/>
                <w:lang w:val="en-US" w:eastAsia="zh-CN"/>
              </w:rPr>
              <w:t>￥992825.12元（大写：玖拾玖万贰仟捌佰贰拾伍元壹角贰分）</w:t>
            </w:r>
            <w:r>
              <w:rPr>
                <w:rFonts w:hint="eastAsia" w:ascii="宋体" w:hAnsi="宋体" w:eastAsia="宋体" w:cs="宋体"/>
                <w:b/>
                <w:bCs/>
                <w:szCs w:val="21"/>
                <w:highlight w:val="none"/>
              </w:rPr>
              <w:t>，</w:t>
            </w:r>
            <w:r>
              <w:rPr>
                <w:rFonts w:hint="eastAsia" w:ascii="宋体" w:hAnsi="宋体" w:cs="宋体"/>
                <w:b/>
                <w:bCs/>
                <w:szCs w:val="21"/>
                <w:highlight w:val="none"/>
                <w:lang w:val="en-US" w:eastAsia="zh-CN"/>
              </w:rPr>
              <w:t>其中安全文明施工费暂定金额为：￥</w:t>
            </w:r>
            <w:r>
              <w:rPr>
                <w:rFonts w:hint="eastAsia" w:ascii="宋体" w:hAnsi="宋体" w:cs="宋体"/>
                <w:b/>
                <w:bCs/>
                <w:szCs w:val="21"/>
                <w:highlight w:val="none"/>
                <w:u w:val="single"/>
                <w:lang w:val="en-US" w:eastAsia="zh-CN"/>
              </w:rPr>
              <w:t>31421.34</w:t>
            </w:r>
            <w:r>
              <w:rPr>
                <w:rFonts w:hint="eastAsia" w:ascii="宋体" w:hAnsi="宋体" w:cs="宋体"/>
                <w:b/>
                <w:bCs/>
                <w:szCs w:val="21"/>
                <w:highlight w:val="none"/>
                <w:lang w:val="en-US" w:eastAsia="zh-CN"/>
              </w:rPr>
              <w:t>元</w:t>
            </w:r>
            <w:r>
              <w:rPr>
                <w:rFonts w:hint="eastAsia" w:ascii="宋体" w:hAnsi="宋体" w:cs="宋体"/>
                <w:szCs w:val="21"/>
                <w:highlight w:val="none"/>
                <w:lang w:val="en-US" w:eastAsia="zh-CN"/>
              </w:rPr>
              <w:t>。</w:t>
            </w:r>
            <w:r>
              <w:rPr>
                <w:rFonts w:hint="eastAsia" w:ascii="宋体" w:hAnsi="宋体" w:eastAsia="宋体" w:cs="宋体"/>
                <w:szCs w:val="21"/>
                <w:highlight w:val="none"/>
              </w:rPr>
              <w:t>投标人的投标总报价不得超过投标总报价最高限价，否则由评标委员会作否决投标处理。</w:t>
            </w:r>
          </w:p>
          <w:p>
            <w:pPr>
              <w:keepNext w:val="0"/>
              <w:keepLines w:val="0"/>
              <w:pageBreakBefore w:val="0"/>
              <w:tabs>
                <w:tab w:val="left" w:pos="546"/>
                <w:tab w:val="left" w:pos="711"/>
              </w:tabs>
              <w:kinsoku/>
              <w:wordWrap/>
              <w:overflowPunct/>
              <w:topLinePunct w:val="0"/>
              <w:bidi w:val="0"/>
              <w:snapToGrid w:val="0"/>
              <w:spacing w:line="400" w:lineRule="exact"/>
              <w:ind w:left="0" w:right="0" w:firstLine="420" w:firstLineChars="200"/>
              <w:textAlignment w:val="auto"/>
              <w:rPr>
                <w:rFonts w:hint="default" w:ascii="宋体" w:hAnsi="宋体" w:eastAsia="宋体" w:cs="宋体"/>
                <w:color w:val="auto"/>
                <w:highlight w:val="none"/>
                <w:lang w:val="en-US" w:eastAsia="zh-CN"/>
              </w:rPr>
            </w:pPr>
            <w:r>
              <w:rPr>
                <w:rFonts w:hint="eastAsia" w:ascii="宋体" w:hAnsi="宋体" w:eastAsia="宋体" w:cs="宋体"/>
                <w:color w:val="auto"/>
                <w:szCs w:val="21"/>
                <w:highlight w:val="none"/>
              </w:rPr>
              <w:t>本工程招标将设置全部清单综合单价最高限价，全部清单综合单价最高限价最迟应于投标截止日</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日前发布，投标人的每项清单综合单价报价不得超过每项清单综合单价最高限价，否则由评标委员会作否决投标处理。</w:t>
            </w:r>
            <w:r>
              <w:rPr>
                <w:rFonts w:hint="eastAsia" w:ascii="宋体" w:hAnsi="宋体" w:cs="宋体"/>
                <w:color w:val="auto"/>
                <w:szCs w:val="21"/>
                <w:highlight w:val="none"/>
                <w:lang w:val="en-US" w:eastAsia="zh-CN"/>
              </w:rPr>
              <w:t xml:space="preserve">  </w:t>
            </w:r>
          </w:p>
          <w:p>
            <w:pPr>
              <w:pStyle w:val="3"/>
              <w:keepNext w:val="0"/>
              <w:keepLines w:val="0"/>
              <w:pageBreakBefore w:val="0"/>
              <w:kinsoku/>
              <w:wordWrap/>
              <w:overflowPunct/>
              <w:topLinePunct w:val="0"/>
              <w:bidi w:val="0"/>
              <w:spacing w:after="0" w:line="400" w:lineRule="exact"/>
              <w:ind w:left="0" w:right="0" w:firstLine="420" w:firstLineChars="200"/>
              <w:textAlignment w:val="auto"/>
              <w:rPr>
                <w:rFonts w:hint="eastAsia" w:ascii="宋体" w:hAnsi="宋体" w:eastAsia="宋体" w:cs="宋体"/>
                <w:highlight w:val="none"/>
              </w:rPr>
            </w:pPr>
            <w:r>
              <w:rPr>
                <w:rFonts w:hint="eastAsia" w:ascii="宋体" w:hAnsi="宋体" w:eastAsia="宋体" w:cs="宋体"/>
                <w:highlight w:val="none"/>
              </w:rPr>
              <w:t>9.安全文明施工费：</w:t>
            </w:r>
          </w:p>
          <w:p>
            <w:pPr>
              <w:pStyle w:val="3"/>
              <w:keepNext w:val="0"/>
              <w:keepLines w:val="0"/>
              <w:pageBreakBefore w:val="0"/>
              <w:tabs>
                <w:tab w:val="left" w:pos="546"/>
                <w:tab w:val="left" w:pos="711"/>
              </w:tabs>
              <w:kinsoku/>
              <w:wordWrap/>
              <w:overflowPunct/>
              <w:topLinePunct w:val="0"/>
              <w:bidi w:val="0"/>
              <w:snapToGrid w:val="0"/>
              <w:spacing w:after="0" w:line="400" w:lineRule="exact"/>
              <w:ind w:left="0" w:right="0" w:firstLine="420" w:firstLineChars="200"/>
              <w:textAlignment w:val="auto"/>
              <w:rPr>
                <w:rFonts w:hint="eastAsia" w:ascii="宋体" w:hAnsi="宋体" w:eastAsia="宋体" w:cs="宋体"/>
                <w:highlight w:val="none"/>
              </w:rPr>
            </w:pPr>
            <w:r>
              <w:rPr>
                <w:rFonts w:hint="eastAsia" w:ascii="宋体" w:hAnsi="宋体" w:eastAsia="宋体" w:cs="宋体"/>
                <w:highlight w:val="none"/>
              </w:rPr>
              <w:t>9.1根据《重庆城乡建设委员会关于印发</w:t>
            </w:r>
            <w:r>
              <w:rPr>
                <w:rFonts w:hint="eastAsia" w:ascii="宋体" w:hAnsi="宋体" w:cs="宋体"/>
                <w:highlight w:val="none"/>
                <w:lang w:eastAsia="zh-CN"/>
              </w:rPr>
              <w:t>〈</w:t>
            </w:r>
            <w:r>
              <w:rPr>
                <w:rFonts w:hint="eastAsia" w:ascii="宋体" w:hAnsi="宋体" w:eastAsia="宋体" w:cs="宋体"/>
                <w:highlight w:val="none"/>
              </w:rPr>
              <w:t>重庆市建设工程安全文明施工费计取及使用管理规定</w:t>
            </w:r>
            <w:r>
              <w:rPr>
                <w:rFonts w:hint="eastAsia" w:ascii="宋体" w:hAnsi="宋体" w:cs="宋体"/>
                <w:highlight w:val="none"/>
                <w:lang w:eastAsia="zh-CN"/>
              </w:rPr>
              <w:t>〉</w:t>
            </w:r>
            <w:r>
              <w:rPr>
                <w:rFonts w:hint="eastAsia" w:ascii="宋体" w:hAnsi="宋体" w:eastAsia="宋体" w:cs="宋体"/>
                <w:highlight w:val="none"/>
              </w:rPr>
              <w:t>的通知》（渝建发〔2014〕25号）规定，安全文明施工费由安全施工费、文明施工费、环境保护费及临时设施费组成。</w:t>
            </w:r>
          </w:p>
          <w:p>
            <w:pPr>
              <w:pStyle w:val="256"/>
              <w:keepNext w:val="0"/>
              <w:keepLines w:val="0"/>
              <w:pageBreakBefore w:val="0"/>
              <w:kinsoku/>
              <w:wordWrap/>
              <w:overflowPunct/>
              <w:topLinePunct w:val="0"/>
              <w:bidi w:val="0"/>
              <w:spacing w:line="400" w:lineRule="exact"/>
              <w:ind w:left="0" w:right="0" w:firstLineChars="200"/>
              <w:textAlignment w:val="auto"/>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9.2本工程安全文明施工费由招标人根据《建设工程工程量清单计价规范》（GB50500-2013）、《重庆市建设工程工程量清单计价规则》（CQJJGZ-2013）、《重庆市城乡建设委员会关于印发</w:t>
            </w:r>
            <w:r>
              <w:rPr>
                <w:rFonts w:hint="eastAsia" w:eastAsia="宋体" w:cs="宋体"/>
                <w:kern w:val="2"/>
                <w:sz w:val="21"/>
                <w:szCs w:val="24"/>
                <w:highlight w:val="none"/>
                <w:lang w:val="en-US" w:eastAsia="zh-CN" w:bidi="ar-SA"/>
              </w:rPr>
              <w:t>〈</w:t>
            </w:r>
            <w:r>
              <w:rPr>
                <w:rFonts w:hint="eastAsia" w:ascii="宋体" w:hAnsi="宋体" w:eastAsia="宋体" w:cs="宋体"/>
                <w:kern w:val="2"/>
                <w:sz w:val="21"/>
                <w:szCs w:val="24"/>
                <w:highlight w:val="none"/>
                <w:lang w:val="en-US" w:eastAsia="zh-CN" w:bidi="ar-SA"/>
              </w:rPr>
              <w:t>重庆市建设工程安全文明施工费计取及使用管理规定</w:t>
            </w:r>
            <w:r>
              <w:rPr>
                <w:rFonts w:hint="eastAsia" w:eastAsia="宋体" w:cs="宋体"/>
                <w:kern w:val="2"/>
                <w:sz w:val="21"/>
                <w:szCs w:val="24"/>
                <w:highlight w:val="none"/>
                <w:lang w:val="en-US" w:eastAsia="zh-CN" w:bidi="ar-SA"/>
              </w:rPr>
              <w:t>〉</w:t>
            </w:r>
            <w:r>
              <w:rPr>
                <w:rFonts w:hint="eastAsia" w:ascii="宋体" w:hAnsi="宋体" w:eastAsia="宋体" w:cs="宋体"/>
                <w:kern w:val="2"/>
                <w:sz w:val="21"/>
                <w:szCs w:val="24"/>
                <w:highlight w:val="none"/>
                <w:lang w:val="en-US" w:eastAsia="zh-CN" w:bidi="ar-SA"/>
              </w:rPr>
              <w:t>的通知》（渝建发〔2014〕25号）、《重庆市住房和城乡建设委员会关于调整建设施工现场形象品质提升安全文明施工费计取的通知》（渝建管〔2020〕97号）、《重庆市建设工程费用定额》（CQFYDE-2018）、《重庆市住房和城乡建设委员会关于适用增值税新税率调整建设工程计价依据的通知》（渝建〔2019〕143号）的相关规定和费用标准单列计算，安全文明施工费为暂定金额，与最高限价一起公布。《投标函》及工程量清单报价中的安全文明施工费必须按照招标人给出的暂定金额填报，否则视为对招标文件不作实质性响应，其投标文件由评标委员会作否决投标处理。注：采用全费用清单计价的项目，安全文明施工费仅针对《投标函》中的安全文明施工费进行评审。</w:t>
            </w:r>
          </w:p>
          <w:p>
            <w:pPr>
              <w:keepNext w:val="0"/>
              <w:keepLines w:val="0"/>
              <w:pageBreakBefore w:val="0"/>
              <w:tabs>
                <w:tab w:val="left" w:pos="546"/>
                <w:tab w:val="left" w:pos="711"/>
              </w:tabs>
              <w:kinsoku/>
              <w:wordWrap/>
              <w:overflowPunct/>
              <w:topLinePunct w:val="0"/>
              <w:bidi w:val="0"/>
              <w:snapToGrid w:val="0"/>
              <w:spacing w:line="400" w:lineRule="exact"/>
              <w:ind w:left="0" w:right="0" w:firstLine="420" w:firstLineChars="200"/>
              <w:textAlignment w:val="auto"/>
              <w:rPr>
                <w:rFonts w:hint="eastAsia" w:ascii="宋体" w:hAnsi="宋体" w:eastAsia="宋体" w:cs="宋体"/>
                <w:highlight w:val="none"/>
              </w:rPr>
            </w:pPr>
            <w:r>
              <w:rPr>
                <w:rFonts w:hint="eastAsia" w:ascii="宋体" w:hAnsi="宋体" w:eastAsia="宋体" w:cs="宋体"/>
                <w:highlight w:val="none"/>
              </w:rPr>
              <w:t>10.本工程所需材料（含设备）价格由投标人参照重庆市建设工程造价管理总站发布的《重庆工程造价信息》或工程造价管理机构发布的工程造价信息（造价信息引用时限为招标公告发布日期前一期），并结合市场行情及自身实力进行自主报价。</w:t>
            </w:r>
          </w:p>
          <w:p>
            <w:pPr>
              <w:pStyle w:val="3"/>
              <w:keepNext w:val="0"/>
              <w:keepLines w:val="0"/>
              <w:pageBreakBefore w:val="0"/>
              <w:tabs>
                <w:tab w:val="left" w:pos="546"/>
                <w:tab w:val="left" w:pos="711"/>
              </w:tabs>
              <w:kinsoku/>
              <w:wordWrap/>
              <w:overflowPunct/>
              <w:topLinePunct w:val="0"/>
              <w:bidi w:val="0"/>
              <w:snapToGrid w:val="0"/>
              <w:spacing w:after="0" w:line="400" w:lineRule="exact"/>
              <w:ind w:left="0" w:right="0" w:firstLine="420" w:firstLineChars="200"/>
              <w:textAlignment w:val="auto"/>
              <w:rPr>
                <w:rFonts w:hint="eastAsia" w:ascii="宋体" w:hAnsi="宋体" w:eastAsia="宋体" w:cs="宋体"/>
                <w:highlight w:val="none"/>
              </w:rPr>
            </w:pPr>
            <w:r>
              <w:rPr>
                <w:rFonts w:hint="eastAsia" w:ascii="宋体" w:hAnsi="宋体" w:eastAsia="宋体" w:cs="宋体"/>
                <w:highlight w:val="none"/>
              </w:rPr>
              <w:t>11.本项目建筑安装材料价格风险按照《重庆市城乡建设委员会关于进一步加强建筑安装材料价格风险管控的指导意见》（渝建〔2018〕61号）执行。本项目主要材料及设备价格风险内容、范围及调整方法为：详见专用合同条款约定。</w:t>
            </w:r>
          </w:p>
          <w:p>
            <w:pPr>
              <w:pStyle w:val="3"/>
              <w:keepNext w:val="0"/>
              <w:keepLines w:val="0"/>
              <w:pageBreakBefore w:val="0"/>
              <w:tabs>
                <w:tab w:val="left" w:pos="546"/>
                <w:tab w:val="left" w:pos="711"/>
              </w:tabs>
              <w:kinsoku/>
              <w:wordWrap/>
              <w:overflowPunct/>
              <w:topLinePunct w:val="0"/>
              <w:bidi w:val="0"/>
              <w:snapToGrid w:val="0"/>
              <w:spacing w:after="0" w:line="400" w:lineRule="exact"/>
              <w:ind w:left="0" w:right="0" w:firstLine="420" w:firstLineChars="200"/>
              <w:textAlignment w:val="auto"/>
              <w:rPr>
                <w:rFonts w:hint="eastAsia" w:ascii="宋体" w:hAnsi="宋体" w:eastAsia="宋体" w:cs="宋体"/>
                <w:highlight w:val="none"/>
              </w:rPr>
            </w:pPr>
            <w:r>
              <w:rPr>
                <w:rFonts w:hint="eastAsia" w:ascii="宋体" w:hAnsi="宋体" w:eastAsia="宋体" w:cs="宋体"/>
                <w:highlight w:val="none"/>
              </w:rPr>
              <w:t>12.本项目所采用技术、工艺和产品等必须执行重庆市住房和城乡建设委员会关于发布重庆市建设领域禁止、限制使用落后技术通告（2019年版）（渝建发〔2019〕25号）的规定。</w:t>
            </w:r>
          </w:p>
          <w:p>
            <w:pPr>
              <w:pStyle w:val="3"/>
              <w:keepNext w:val="0"/>
              <w:keepLines w:val="0"/>
              <w:pageBreakBefore w:val="0"/>
              <w:tabs>
                <w:tab w:val="left" w:pos="546"/>
                <w:tab w:val="left" w:pos="711"/>
              </w:tabs>
              <w:kinsoku/>
              <w:wordWrap/>
              <w:overflowPunct/>
              <w:topLinePunct w:val="0"/>
              <w:bidi w:val="0"/>
              <w:snapToGrid w:val="0"/>
              <w:spacing w:after="0" w:line="400" w:lineRule="exact"/>
              <w:ind w:left="0" w:leftChars="0" w:right="0" w:rightChars="0"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highlight w:val="none"/>
              </w:rPr>
              <w:t>13.本工程主体结构若需混凝土，则必须使用商品混凝土，不得自建搅拌站。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135" w:type="dxa"/>
            <w:noWrap w:val="0"/>
            <w:vAlign w:val="center"/>
          </w:tcPr>
          <w:p>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kern w:val="0"/>
                <w:sz w:val="21"/>
                <w:szCs w:val="21"/>
              </w:rPr>
            </w:pPr>
            <w:r>
              <w:rPr>
                <w:rFonts w:ascii="宋体" w:hAnsi="宋体"/>
                <w:kern w:val="0"/>
                <w:szCs w:val="21"/>
                <w:highlight w:val="none"/>
              </w:rPr>
              <w:t>3.3.1</w:t>
            </w:r>
          </w:p>
        </w:tc>
        <w:tc>
          <w:tcPr>
            <w:tcW w:w="1500" w:type="dxa"/>
            <w:noWrap w:val="0"/>
            <w:vAlign w:val="center"/>
          </w:tcPr>
          <w:p>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kern w:val="0"/>
                <w:sz w:val="21"/>
                <w:szCs w:val="21"/>
              </w:rPr>
            </w:pPr>
            <w:r>
              <w:rPr>
                <w:rFonts w:ascii="宋体" w:hAnsi="宋体"/>
                <w:kern w:val="0"/>
                <w:szCs w:val="21"/>
                <w:highlight w:val="none"/>
              </w:rPr>
              <w:t>投标有效期</w:t>
            </w:r>
          </w:p>
        </w:tc>
        <w:tc>
          <w:tcPr>
            <w:tcW w:w="7189" w:type="dxa"/>
            <w:noWrap w:val="0"/>
            <w:vAlign w:val="center"/>
          </w:tcPr>
          <w:p>
            <w:pPr>
              <w:keepNext w:val="0"/>
              <w:keepLines w:val="0"/>
              <w:pageBreakBefore w:val="0"/>
              <w:kinsoku/>
              <w:wordWrap/>
              <w:overflowPunct/>
              <w:topLinePunct w:val="0"/>
              <w:bidi w:val="0"/>
              <w:snapToGrid w:val="0"/>
              <w:spacing w:line="400" w:lineRule="exact"/>
              <w:ind w:right="0" w:rightChars="0"/>
              <w:textAlignment w:val="auto"/>
              <w:rPr>
                <w:rFonts w:hint="eastAsia" w:ascii="宋体" w:hAnsi="宋体" w:eastAsia="宋体" w:cs="宋体"/>
                <w:color w:val="auto"/>
                <w:kern w:val="0"/>
                <w:sz w:val="21"/>
                <w:szCs w:val="21"/>
              </w:rPr>
            </w:pPr>
            <w:r>
              <w:rPr>
                <w:rFonts w:hint="eastAsia" w:ascii="宋体" w:hAnsi="宋体"/>
                <w:szCs w:val="21"/>
                <w:highlight w:val="none"/>
                <w:u w:val="single"/>
                <w:lang w:val="en-US" w:eastAsia="zh-CN"/>
              </w:rPr>
              <w:t>9</w:t>
            </w:r>
            <w:r>
              <w:rPr>
                <w:rFonts w:hint="eastAsia" w:ascii="宋体" w:hAnsi="宋体"/>
                <w:szCs w:val="21"/>
                <w:highlight w:val="none"/>
                <w:u w:val="single"/>
                <w:lang w:eastAsia="zh-CN"/>
              </w:rPr>
              <w:t>0日历天</w:t>
            </w:r>
            <w:r>
              <w:rPr>
                <w:rFonts w:ascii="宋体" w:hAnsi="宋体"/>
                <w:szCs w:val="21"/>
                <w:highlight w:val="none"/>
              </w:rPr>
              <w:t>（从提交投标文件截止日起计算）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3.4.1</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投标保证金</w:t>
            </w:r>
          </w:p>
        </w:tc>
        <w:tc>
          <w:tcPr>
            <w:tcW w:w="7189" w:type="dxa"/>
            <w:noWrap w:val="0"/>
            <w:vAlign w:val="center"/>
          </w:tcPr>
          <w:p>
            <w:pPr>
              <w:pStyle w:val="261"/>
              <w:numPr>
                <w:ilvl w:val="0"/>
                <w:numId w:val="6"/>
              </w:numPr>
              <w:snapToGrid w:val="0"/>
              <w:spacing w:line="400" w:lineRule="exact"/>
              <w:ind w:firstLineChars="0"/>
              <w:jc w:val="left"/>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投标保证金的形式：</w:t>
            </w:r>
          </w:p>
          <w:p>
            <w:pPr>
              <w:pStyle w:val="261"/>
              <w:snapToGrid w:val="0"/>
              <w:spacing w:line="400" w:lineRule="exact"/>
              <w:ind w:left="772" w:firstLine="0" w:firstLineChars="0"/>
              <w:jc w:val="left"/>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现金。</w:t>
            </w:r>
          </w:p>
          <w:p>
            <w:pPr>
              <w:snapToGrid w:val="0"/>
              <w:spacing w:line="400" w:lineRule="exact"/>
              <w:ind w:firstLine="405"/>
              <w:jc w:val="left"/>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2、投标保证金的金额：</w:t>
            </w:r>
          </w:p>
          <w:p>
            <w:pPr>
              <w:snapToGrid w:val="0"/>
              <w:spacing w:line="400" w:lineRule="exact"/>
              <w:ind w:firstLine="735" w:firstLineChars="350"/>
              <w:jc w:val="left"/>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保证金的金额为18000元（大写：壹万捌仟元整）。</w:t>
            </w:r>
          </w:p>
          <w:p>
            <w:pPr>
              <w:snapToGrid w:val="0"/>
              <w:spacing w:line="400" w:lineRule="exact"/>
              <w:ind w:firstLine="422"/>
              <w:jc w:val="left"/>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3、递交方式：</w:t>
            </w:r>
          </w:p>
          <w:p>
            <w:pPr>
              <w:tabs>
                <w:tab w:val="left" w:pos="546"/>
                <w:tab w:val="left" w:pos="711"/>
              </w:tabs>
              <w:autoSpaceDE w:val="0"/>
              <w:autoSpaceDN w:val="0"/>
              <w:adjustRightInd w:val="0"/>
              <w:snapToGrid w:val="0"/>
              <w:spacing w:line="500" w:lineRule="exact"/>
              <w:ind w:firstLine="735" w:firstLineChars="350"/>
              <w:jc w:val="left"/>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信封递交、信封上写明单位名称并盖单位公章。</w:t>
            </w:r>
          </w:p>
          <w:p>
            <w:pPr>
              <w:tabs>
                <w:tab w:val="left" w:pos="546"/>
                <w:tab w:val="left" w:pos="711"/>
              </w:tabs>
              <w:autoSpaceDE w:val="0"/>
              <w:autoSpaceDN w:val="0"/>
              <w:adjustRightInd w:val="0"/>
              <w:snapToGrid w:val="0"/>
              <w:spacing w:line="500" w:lineRule="exact"/>
              <w:ind w:firstLine="420"/>
              <w:jc w:val="left"/>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4、递交时间：</w:t>
            </w:r>
          </w:p>
          <w:p>
            <w:pPr>
              <w:tabs>
                <w:tab w:val="left" w:pos="546"/>
                <w:tab w:val="left" w:pos="711"/>
              </w:tabs>
              <w:autoSpaceDE w:val="0"/>
              <w:autoSpaceDN w:val="0"/>
              <w:adjustRightInd w:val="0"/>
              <w:snapToGrid w:val="0"/>
              <w:spacing w:line="500" w:lineRule="exact"/>
              <w:ind w:firstLine="420"/>
              <w:jc w:val="left"/>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递交投标文件时，同时递交。</w:t>
            </w:r>
          </w:p>
          <w:p>
            <w:pPr>
              <w:tabs>
                <w:tab w:val="left" w:pos="546"/>
                <w:tab w:val="left" w:pos="711"/>
              </w:tabs>
              <w:autoSpaceDE w:val="0"/>
              <w:autoSpaceDN w:val="0"/>
              <w:adjustRightInd w:val="0"/>
              <w:snapToGrid w:val="0"/>
              <w:spacing w:line="500" w:lineRule="exact"/>
              <w:ind w:firstLine="420"/>
              <w:jc w:val="left"/>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5、投标保证金退还：</w:t>
            </w:r>
          </w:p>
          <w:p>
            <w:pPr>
              <w:snapToGrid w:val="0"/>
              <w:spacing w:line="400" w:lineRule="exact"/>
              <w:jc w:val="left"/>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开标结束后当场退还除中标候选人外其他投标人的投标保证金。</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outlineLvl w:val="9"/>
              <w:rPr>
                <w:rFonts w:hint="eastAsia" w:ascii="宋体" w:hAnsi="宋体" w:eastAsia="宋体" w:cs="宋体"/>
                <w:bCs/>
                <w:color w:val="auto"/>
                <w:kern w:val="0"/>
                <w:sz w:val="21"/>
                <w:szCs w:val="21"/>
              </w:rPr>
            </w:pPr>
            <w:r>
              <w:rPr>
                <w:rFonts w:hint="eastAsia" w:ascii="宋体" w:hAnsi="宋体" w:cs="仿宋_GB2312"/>
                <w:bCs/>
                <w:snapToGrid w:val="0"/>
                <w:color w:val="000000"/>
                <w:kern w:val="0"/>
                <w:szCs w:val="21"/>
              </w:rPr>
              <w:t>特别提示：本工程投标人比选过程中有串标、围标等违法行为的按相关法律法规处理且投标保证金不予退还。本工程中选人无故放弃中选的按相关法律法规处理且投标保证金不予退还。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3.5</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资格审查资料</w:t>
            </w:r>
          </w:p>
        </w:tc>
        <w:tc>
          <w:tcPr>
            <w:tcW w:w="7189" w:type="dxa"/>
            <w:noWrap w:val="0"/>
            <w:vAlign w:val="center"/>
          </w:tcPr>
          <w:p>
            <w:pPr>
              <w:keepNext w:val="0"/>
              <w:keepLines w:val="0"/>
              <w:pageBreakBefore w:val="0"/>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3.5.2</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投标截止日投标资格情况的年份要求</w:t>
            </w:r>
          </w:p>
        </w:tc>
        <w:tc>
          <w:tcPr>
            <w:tcW w:w="7189" w:type="dxa"/>
            <w:noWrap w:val="0"/>
            <w:vAlign w:val="center"/>
          </w:tcPr>
          <w:p>
            <w:pPr>
              <w:keepNext w:val="0"/>
              <w:keepLines w:val="0"/>
              <w:pageBreakBefore w:val="0"/>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201</w:t>
            </w: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年</w:t>
            </w:r>
            <w:r>
              <w:rPr>
                <w:rFonts w:hint="eastAsia" w:ascii="宋体" w:hAnsi="宋体" w:cs="宋体"/>
                <w:color w:val="auto"/>
                <w:kern w:val="0"/>
                <w:sz w:val="21"/>
                <w:szCs w:val="21"/>
                <w:lang w:val="en-US" w:eastAsia="zh-CN"/>
              </w:rPr>
              <w:t>7月13日</w:t>
            </w:r>
            <w:r>
              <w:rPr>
                <w:rFonts w:hint="eastAsia" w:ascii="宋体" w:hAnsi="宋体" w:eastAsia="宋体" w:cs="宋体"/>
                <w:color w:val="auto"/>
                <w:kern w:val="0"/>
                <w:sz w:val="21"/>
                <w:szCs w:val="21"/>
              </w:rPr>
              <w:t xml:space="preserve">起至 </w:t>
            </w:r>
            <w:r>
              <w:rPr>
                <w:rFonts w:hint="eastAsia" w:ascii="宋体" w:hAnsi="宋体" w:eastAsia="宋体" w:cs="宋体"/>
                <w:color w:val="auto"/>
                <w:kern w:val="0"/>
                <w:sz w:val="21"/>
                <w:szCs w:val="21"/>
                <w:lang w:eastAsia="zh-CN"/>
              </w:rPr>
              <w:t>202</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eastAsia="zh-CN"/>
              </w:rPr>
              <w:t>年</w:t>
            </w:r>
            <w:r>
              <w:rPr>
                <w:rFonts w:hint="eastAsia" w:ascii="宋体" w:hAnsi="宋体" w:cs="宋体"/>
                <w:color w:val="auto"/>
                <w:kern w:val="0"/>
                <w:sz w:val="21"/>
                <w:szCs w:val="21"/>
                <w:lang w:val="en-US" w:eastAsia="zh-CN"/>
              </w:rPr>
              <w:t>7月13日</w:t>
            </w:r>
            <w:r>
              <w:rPr>
                <w:rFonts w:hint="eastAsia" w:ascii="宋体" w:hAnsi="宋体" w:eastAsia="宋体" w:cs="宋体"/>
                <w:color w:val="auto"/>
                <w:kern w:val="0"/>
                <w:sz w:val="21"/>
                <w:szCs w:val="21"/>
              </w:rPr>
              <w:t>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3.6</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是否允许递交备选投标方案</w:t>
            </w:r>
          </w:p>
        </w:tc>
        <w:tc>
          <w:tcPr>
            <w:tcW w:w="7189" w:type="dxa"/>
            <w:noWrap w:val="0"/>
            <w:vAlign w:val="center"/>
          </w:tcPr>
          <w:p>
            <w:pPr>
              <w:keepNext w:val="0"/>
              <w:keepLines w:val="0"/>
              <w:pageBreakBefore w:val="0"/>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eq \o\ac(□,</w:instrText>
            </w:r>
            <w:r>
              <w:rPr>
                <w:rFonts w:hint="eastAsia" w:ascii="宋体" w:hAnsi="宋体" w:eastAsia="宋体" w:cs="宋体"/>
                <w:color w:val="auto"/>
                <w:kern w:val="0"/>
                <w:position w:val="1"/>
                <w:sz w:val="21"/>
                <w:szCs w:val="21"/>
              </w:rPr>
              <w:instrText xml:space="preserve">√</w:instrText>
            </w:r>
            <w:r>
              <w:rPr>
                <w:rFonts w:hint="eastAsia" w:ascii="宋体" w:hAnsi="宋体" w:eastAsia="宋体" w:cs="宋体"/>
                <w:color w:val="auto"/>
                <w:kern w:val="0"/>
                <w:sz w:val="21"/>
                <w:szCs w:val="21"/>
              </w:rPr>
              <w:instrText xml:space="preserve">)</w:instrTex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3.7.3</w:t>
            </w:r>
          </w:p>
        </w:tc>
        <w:tc>
          <w:tcPr>
            <w:tcW w:w="1500" w:type="dxa"/>
            <w:noWrap w:val="0"/>
            <w:vAlign w:val="center"/>
          </w:tcPr>
          <w:p>
            <w:pPr>
              <w:keepNext w:val="0"/>
              <w:keepLines w:val="0"/>
              <w:pageBreakBefore w:val="0"/>
              <w:kinsoku/>
              <w:wordWrap/>
              <w:overflowPunct/>
              <w:topLinePunct w:val="0"/>
              <w:autoSpaceDE/>
              <w:autoSpaceDN/>
              <w:bidi w:val="0"/>
              <w:adjustRightInd/>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签字或盖章要求</w:t>
            </w:r>
          </w:p>
        </w:tc>
        <w:tc>
          <w:tcPr>
            <w:tcW w:w="7189" w:type="dxa"/>
            <w:noWrap w:val="0"/>
            <w:vAlign w:val="center"/>
          </w:tcPr>
          <w:p>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按本章投标人须知3.7.3款执行。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3.7.4</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投标文件的份数</w:t>
            </w:r>
          </w:p>
        </w:tc>
        <w:tc>
          <w:tcPr>
            <w:tcW w:w="7189" w:type="dxa"/>
            <w:noWrap w:val="0"/>
            <w:vAlign w:val="center"/>
          </w:tcPr>
          <w:p>
            <w:pPr>
              <w:keepNext w:val="0"/>
              <w:keepLines w:val="0"/>
              <w:pageBreakBefore w:val="0"/>
              <w:kinsoku/>
              <w:wordWrap/>
              <w:overflowPunct/>
              <w:topLinePunct w:val="0"/>
              <w:autoSpaceDE/>
              <w:autoSpaceDN/>
              <w:bidi w:val="0"/>
              <w:adjustRightInd/>
              <w:spacing w:line="4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投标函部分：一式3份（正本1份，副本2份）；</w:t>
            </w:r>
          </w:p>
          <w:p>
            <w:pPr>
              <w:keepNext w:val="0"/>
              <w:keepLines w:val="0"/>
              <w:pageBreakBefore w:val="0"/>
              <w:widowControl/>
              <w:kinsoku/>
              <w:wordWrap/>
              <w:overflowPunct/>
              <w:topLinePunct w:val="0"/>
              <w:autoSpaceDE/>
              <w:autoSpaceDN/>
              <w:bidi w:val="0"/>
              <w:adjustRightInd/>
              <w:snapToGrid w:val="0"/>
              <w:spacing w:line="460" w:lineRule="exact"/>
              <w:ind w:firstLine="420" w:firstLineChars="200"/>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lang w:eastAsia="zh-CN"/>
              </w:rPr>
              <w:t>经济部分</w:t>
            </w:r>
            <w:r>
              <w:rPr>
                <w:rFonts w:hint="eastAsia" w:ascii="宋体" w:hAnsi="宋体" w:eastAsia="宋体" w:cs="宋体"/>
                <w:color w:val="auto"/>
                <w:sz w:val="21"/>
                <w:szCs w:val="21"/>
              </w:rPr>
              <w:t>：一式3份（正本1份，副本2份），</w:t>
            </w:r>
            <w:r>
              <w:rPr>
                <w:rFonts w:hint="eastAsia" w:ascii="宋体" w:hAnsi="宋体" w:eastAsia="宋体" w:cs="宋体"/>
                <w:b/>
                <w:color w:val="auto"/>
                <w:sz w:val="21"/>
                <w:szCs w:val="21"/>
              </w:rPr>
              <w:t>另需提供电子光盘一张，电子光盘须标明本工程名称并加盖投标人单位公章。</w:t>
            </w:r>
          </w:p>
          <w:p>
            <w:pPr>
              <w:keepNext w:val="0"/>
              <w:keepLines w:val="0"/>
              <w:pageBreakBefore w:val="0"/>
              <w:widowControl/>
              <w:kinsoku/>
              <w:wordWrap/>
              <w:overflowPunct/>
              <w:topLinePunct w:val="0"/>
              <w:autoSpaceDE/>
              <w:autoSpaceDN/>
              <w:bidi w:val="0"/>
              <w:adjustRightInd/>
              <w:snapToGrid w:val="0"/>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资格审查部分：一式3份（正本1份，副本2份）。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3.7.5</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装订要求</w:t>
            </w:r>
          </w:p>
        </w:tc>
        <w:tc>
          <w:tcPr>
            <w:tcW w:w="7189" w:type="dxa"/>
            <w:noWrap w:val="0"/>
            <w:vAlign w:val="center"/>
          </w:tcPr>
          <w:p>
            <w:pPr>
              <w:keepNext w:val="0"/>
              <w:keepLines w:val="0"/>
              <w:pageBreakBefore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1、应将投标函部分、</w:t>
            </w:r>
            <w:r>
              <w:rPr>
                <w:rFonts w:hint="eastAsia" w:ascii="宋体" w:hAnsi="宋体" w:eastAsia="宋体" w:cs="宋体"/>
                <w:color w:val="auto"/>
                <w:sz w:val="21"/>
                <w:szCs w:val="21"/>
                <w:lang w:eastAsia="zh-CN"/>
              </w:rPr>
              <w:t>经济部分</w:t>
            </w:r>
            <w:r>
              <w:rPr>
                <w:rFonts w:hint="eastAsia" w:ascii="宋体" w:hAnsi="宋体" w:eastAsia="宋体" w:cs="宋体"/>
                <w:color w:val="auto"/>
                <w:sz w:val="21"/>
                <w:szCs w:val="21"/>
              </w:rPr>
              <w:t>、资格审查资料各自分别装订成册。</w:t>
            </w:r>
          </w:p>
          <w:p>
            <w:pPr>
              <w:keepNext w:val="0"/>
              <w:keepLines w:val="0"/>
              <w:pageBreakBefore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2、装订</w:t>
            </w:r>
          </w:p>
          <w:p>
            <w:pPr>
              <w:keepNext w:val="0"/>
              <w:keepLines w:val="0"/>
              <w:pageBreakBefore w:val="0"/>
              <w:kinsoku/>
              <w:wordWrap/>
              <w:overflowPunct/>
              <w:topLinePunct w:val="0"/>
              <w:bidi w:val="0"/>
              <w:adjustRightInd w:val="0"/>
              <w:snapToGrid w:val="0"/>
              <w:spacing w:line="400" w:lineRule="exact"/>
              <w:ind w:left="0" w:right="0" w:firstLine="420" w:firstLineChars="200"/>
              <w:textAlignment w:val="auto"/>
              <w:rPr>
                <w:rFonts w:ascii="宋体" w:hAnsi="宋体"/>
                <w:szCs w:val="21"/>
                <w:highlight w:val="none"/>
              </w:rPr>
            </w:pPr>
            <w:r>
              <w:rPr>
                <w:rFonts w:hint="eastAsia" w:ascii="宋体" w:hAnsi="宋体"/>
                <w:szCs w:val="21"/>
                <w:highlight w:val="none"/>
              </w:rPr>
              <w:t>具体要求：</w:t>
            </w:r>
          </w:p>
          <w:p>
            <w:pPr>
              <w:keepNext w:val="0"/>
              <w:keepLines w:val="0"/>
              <w:pageBreakBefore w:val="0"/>
              <w:kinsoku/>
              <w:wordWrap/>
              <w:overflowPunct/>
              <w:topLinePunct w:val="0"/>
              <w:bidi w:val="0"/>
              <w:adjustRightInd w:val="0"/>
              <w:snapToGrid w:val="0"/>
              <w:spacing w:line="400" w:lineRule="exact"/>
              <w:ind w:left="0" w:right="0" w:firstLine="420" w:firstLineChars="200"/>
              <w:textAlignment w:val="auto"/>
              <w:rPr>
                <w:rFonts w:ascii="宋体" w:hAnsi="宋体"/>
                <w:szCs w:val="21"/>
                <w:highlight w:val="none"/>
              </w:rPr>
            </w:pPr>
            <w:r>
              <w:rPr>
                <w:rFonts w:hint="eastAsia" w:ascii="宋体" w:hAnsi="宋体"/>
                <w:szCs w:val="21"/>
                <w:highlight w:val="none"/>
              </w:rPr>
              <w:t>（1）投标函部分</w:t>
            </w:r>
          </w:p>
          <w:p>
            <w:pPr>
              <w:keepNext w:val="0"/>
              <w:keepLines w:val="0"/>
              <w:pageBreakBefore w:val="0"/>
              <w:kinsoku/>
              <w:wordWrap/>
              <w:overflowPunct/>
              <w:topLinePunct w:val="0"/>
              <w:bidi w:val="0"/>
              <w:adjustRightInd w:val="0"/>
              <w:snapToGrid w:val="0"/>
              <w:spacing w:line="400" w:lineRule="exact"/>
              <w:ind w:left="0" w:right="0" w:firstLine="420" w:firstLineChars="200"/>
              <w:textAlignment w:val="auto"/>
              <w:rPr>
                <w:rFonts w:ascii="宋体" w:hAnsi="宋体"/>
                <w:szCs w:val="21"/>
                <w:highlight w:val="none"/>
              </w:rPr>
            </w:pPr>
            <w:r>
              <w:rPr>
                <w:rFonts w:hint="eastAsia" w:ascii="宋体" w:hAnsi="宋体"/>
                <w:szCs w:val="21"/>
                <w:highlight w:val="none"/>
              </w:rPr>
              <w:t>应按照第八章规定格式排版，并应编制目录。</w:t>
            </w:r>
          </w:p>
          <w:p>
            <w:pPr>
              <w:keepNext w:val="0"/>
              <w:keepLines w:val="0"/>
              <w:pageBreakBefore w:val="0"/>
              <w:kinsoku/>
              <w:wordWrap/>
              <w:overflowPunct/>
              <w:topLinePunct w:val="0"/>
              <w:bidi w:val="0"/>
              <w:adjustRightInd w:val="0"/>
              <w:snapToGrid w:val="0"/>
              <w:spacing w:line="400" w:lineRule="exact"/>
              <w:ind w:left="0" w:right="0" w:firstLine="420" w:firstLineChars="200"/>
              <w:textAlignment w:val="auto"/>
              <w:rPr>
                <w:rFonts w:ascii="宋体" w:hAnsi="宋体"/>
                <w:szCs w:val="21"/>
                <w:highlight w:val="none"/>
              </w:rPr>
            </w:pPr>
            <w:r>
              <w:rPr>
                <w:rFonts w:hint="eastAsia" w:ascii="宋体" w:hAnsi="宋体"/>
                <w:szCs w:val="21"/>
                <w:highlight w:val="none"/>
              </w:rPr>
              <w:t>（2）经济部分</w:t>
            </w:r>
          </w:p>
          <w:p>
            <w:pPr>
              <w:keepNext w:val="0"/>
              <w:keepLines w:val="0"/>
              <w:pageBreakBefore w:val="0"/>
              <w:kinsoku/>
              <w:wordWrap/>
              <w:overflowPunct/>
              <w:topLinePunct w:val="0"/>
              <w:bidi w:val="0"/>
              <w:adjustRightInd w:val="0"/>
              <w:snapToGrid w:val="0"/>
              <w:spacing w:line="400" w:lineRule="exact"/>
              <w:ind w:left="0" w:right="0" w:firstLine="420" w:firstLineChars="200"/>
              <w:textAlignment w:val="auto"/>
              <w:rPr>
                <w:rFonts w:ascii="宋体" w:hAnsi="宋体"/>
                <w:szCs w:val="21"/>
                <w:highlight w:val="none"/>
              </w:rPr>
            </w:pPr>
            <w:r>
              <w:rPr>
                <w:rFonts w:hint="eastAsia" w:ascii="宋体" w:hAnsi="宋体"/>
                <w:szCs w:val="21"/>
                <w:highlight w:val="none"/>
              </w:rPr>
              <w:t>应按照第八章规定格式排版，并应编制目录。</w:t>
            </w:r>
          </w:p>
          <w:p>
            <w:pPr>
              <w:keepNext w:val="0"/>
              <w:keepLines w:val="0"/>
              <w:pageBreakBefore w:val="0"/>
              <w:kinsoku/>
              <w:wordWrap/>
              <w:overflowPunct/>
              <w:topLinePunct w:val="0"/>
              <w:bidi w:val="0"/>
              <w:adjustRightInd w:val="0"/>
              <w:snapToGrid w:val="0"/>
              <w:spacing w:line="400" w:lineRule="exact"/>
              <w:ind w:left="0" w:right="0" w:firstLine="420" w:firstLineChars="200"/>
              <w:textAlignment w:val="auto"/>
              <w:rPr>
                <w:rFonts w:ascii="宋体" w:hAnsi="宋体"/>
                <w:szCs w:val="21"/>
                <w:highlight w:val="none"/>
              </w:rPr>
            </w:pPr>
            <w:r>
              <w:rPr>
                <w:rFonts w:hint="eastAsia" w:ascii="宋体" w:hAnsi="宋体"/>
                <w:szCs w:val="21"/>
                <w:highlight w:val="none"/>
              </w:rPr>
              <w:t>（3）资格审查部分</w:t>
            </w:r>
          </w:p>
          <w:p>
            <w:pPr>
              <w:keepNext w:val="0"/>
              <w:keepLines w:val="0"/>
              <w:pageBreakBefore w:val="0"/>
              <w:kinsoku/>
              <w:wordWrap/>
              <w:overflowPunct/>
              <w:topLinePunct w:val="0"/>
              <w:autoSpaceDE/>
              <w:autoSpaceDN/>
              <w:bidi w:val="0"/>
              <w:adjustRightInd/>
              <w:spacing w:line="4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szCs w:val="21"/>
                <w:highlight w:val="none"/>
              </w:rPr>
              <w:t>应按照第八章规定格式排版，并应编制目录。</w:t>
            </w:r>
            <w:r>
              <w:rPr>
                <w:rFonts w:hint="eastAsia" w:ascii="宋体" w:hAnsi="宋体" w:eastAsia="宋体" w:cs="宋体"/>
                <w:b/>
                <w:color w:val="auto"/>
                <w:sz w:val="21"/>
                <w:szCs w:val="21"/>
              </w:rPr>
              <w:t>（注：投标人必须保证投标文件装订牢固；比选人对由于投标文件装订松散而造成的丢失或其他后果不承担任何责任）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ind w:firstLine="210" w:firstLineChars="1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4.1.1</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投标文件的密封</w:t>
            </w:r>
          </w:p>
        </w:tc>
        <w:tc>
          <w:tcPr>
            <w:tcW w:w="7189" w:type="dxa"/>
            <w:noWrap w:val="0"/>
            <w:vAlign w:val="center"/>
          </w:tcPr>
          <w:p>
            <w:pPr>
              <w:keepNext w:val="0"/>
              <w:keepLines w:val="0"/>
              <w:pageBreakBefore w:val="0"/>
              <w:kinsoku/>
              <w:wordWrap/>
              <w:overflowPunct/>
              <w:topLinePunct w:val="0"/>
              <w:autoSpaceDE/>
              <w:autoSpaceDN/>
              <w:bidi w:val="0"/>
              <w:adjustRightInd/>
              <w:spacing w:line="4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1.投标文件袋使用“投标函部分”袋、“</w:t>
            </w:r>
            <w:r>
              <w:rPr>
                <w:rFonts w:hint="eastAsia" w:ascii="宋体" w:hAnsi="宋体" w:eastAsia="宋体" w:cs="宋体"/>
                <w:color w:val="auto"/>
                <w:sz w:val="21"/>
                <w:szCs w:val="21"/>
                <w:lang w:eastAsia="zh-CN"/>
              </w:rPr>
              <w:t>经济部分</w:t>
            </w:r>
            <w:r>
              <w:rPr>
                <w:rFonts w:hint="eastAsia" w:ascii="宋体" w:hAnsi="宋体" w:eastAsia="宋体" w:cs="宋体"/>
                <w:color w:val="auto"/>
                <w:sz w:val="21"/>
                <w:szCs w:val="21"/>
              </w:rPr>
              <w:t>”袋、“资格审查资料”袋以及“投标文件”大袋。</w:t>
            </w:r>
          </w:p>
          <w:p>
            <w:pPr>
              <w:keepNext w:val="0"/>
              <w:keepLines w:val="0"/>
              <w:pageBreakBefore w:val="0"/>
              <w:kinsoku/>
              <w:wordWrap/>
              <w:overflowPunct/>
              <w:topLinePunct w:val="0"/>
              <w:autoSpaceDE/>
              <w:autoSpaceDN/>
              <w:bidi w:val="0"/>
              <w:adjustRightInd/>
              <w:spacing w:line="4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2.投标函部分装入“投标函部分”袋中，密封并在袋上加盖投标人单位公章。</w:t>
            </w:r>
          </w:p>
          <w:p>
            <w:pPr>
              <w:keepNext w:val="0"/>
              <w:keepLines w:val="0"/>
              <w:pageBreakBefore w:val="0"/>
              <w:kinsoku/>
              <w:wordWrap/>
              <w:overflowPunct/>
              <w:topLinePunct w:val="0"/>
              <w:autoSpaceDE/>
              <w:autoSpaceDN/>
              <w:bidi w:val="0"/>
              <w:adjustRightInd/>
              <w:spacing w:line="4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经济</w:t>
            </w:r>
            <w:r>
              <w:rPr>
                <w:rFonts w:hint="eastAsia" w:ascii="宋体" w:hAnsi="宋体" w:eastAsia="宋体" w:cs="宋体"/>
                <w:color w:val="auto"/>
                <w:sz w:val="21"/>
                <w:szCs w:val="21"/>
              </w:rPr>
              <w:t>部分</w:t>
            </w:r>
            <w:r>
              <w:rPr>
                <w:rFonts w:hint="eastAsia" w:ascii="宋体" w:hAnsi="宋体" w:eastAsia="宋体" w:cs="宋体"/>
                <w:b/>
                <w:color w:val="auto"/>
                <w:sz w:val="21"/>
                <w:szCs w:val="21"/>
              </w:rPr>
              <w:t>（含电子光盘）</w:t>
            </w:r>
            <w:r>
              <w:rPr>
                <w:rFonts w:hint="eastAsia" w:ascii="宋体" w:hAnsi="宋体" w:eastAsia="宋体" w:cs="宋体"/>
                <w:color w:val="auto"/>
                <w:sz w:val="21"/>
                <w:szCs w:val="21"/>
              </w:rPr>
              <w:t>装入“</w:t>
            </w:r>
            <w:r>
              <w:rPr>
                <w:rFonts w:hint="eastAsia" w:ascii="宋体" w:hAnsi="宋体" w:eastAsia="宋体" w:cs="宋体"/>
                <w:color w:val="auto"/>
                <w:sz w:val="21"/>
                <w:szCs w:val="21"/>
                <w:lang w:val="en-US" w:eastAsia="zh-CN"/>
              </w:rPr>
              <w:t>经济</w:t>
            </w:r>
            <w:r>
              <w:rPr>
                <w:rFonts w:hint="eastAsia" w:ascii="宋体" w:hAnsi="宋体" w:eastAsia="宋体" w:cs="宋体"/>
                <w:color w:val="auto"/>
                <w:sz w:val="21"/>
                <w:szCs w:val="21"/>
              </w:rPr>
              <w:t>部分”袋中，密封并在袋上加盖投标人单位公章。</w:t>
            </w:r>
          </w:p>
          <w:p>
            <w:pPr>
              <w:keepNext w:val="0"/>
              <w:keepLines w:val="0"/>
              <w:pageBreakBefore w:val="0"/>
              <w:kinsoku/>
              <w:wordWrap/>
              <w:overflowPunct/>
              <w:topLinePunct w:val="0"/>
              <w:autoSpaceDE/>
              <w:autoSpaceDN/>
              <w:bidi w:val="0"/>
              <w:adjustRightInd/>
              <w:spacing w:line="4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4.“投标函部分”、“</w:t>
            </w:r>
            <w:r>
              <w:rPr>
                <w:rFonts w:hint="eastAsia" w:ascii="宋体" w:hAnsi="宋体" w:eastAsia="宋体" w:cs="宋体"/>
                <w:color w:val="auto"/>
                <w:sz w:val="21"/>
                <w:szCs w:val="21"/>
                <w:lang w:eastAsia="zh-CN"/>
              </w:rPr>
              <w:t>经济部分</w:t>
            </w:r>
            <w:r>
              <w:rPr>
                <w:rFonts w:hint="eastAsia" w:ascii="宋体" w:hAnsi="宋体" w:eastAsia="宋体" w:cs="宋体"/>
                <w:color w:val="auto"/>
                <w:sz w:val="21"/>
                <w:szCs w:val="21"/>
              </w:rPr>
              <w:t>”等小袋装入“投标文件”大袋中，密封并在大袋上加盖投标人单位公章，同时“投标文件”大袋应按本表第4.1.2项的规定写明相应内容。</w:t>
            </w:r>
          </w:p>
          <w:p>
            <w:pPr>
              <w:keepNext w:val="0"/>
              <w:keepLines w:val="0"/>
              <w:pageBreakBefore w:val="0"/>
              <w:kinsoku/>
              <w:wordWrap/>
              <w:overflowPunct/>
              <w:topLinePunct w:val="0"/>
              <w:autoSpaceDE/>
              <w:autoSpaceDN/>
              <w:bidi w:val="0"/>
              <w:adjustRightInd/>
              <w:spacing w:line="4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5.“资格审查资料”单独封装，密封并加盖投标人单位公章，同时应按本表第4.1.2项的规定写明相应内容。</w:t>
            </w:r>
          </w:p>
          <w:p>
            <w:pPr>
              <w:keepNext w:val="0"/>
              <w:keepLines w:val="0"/>
              <w:pageBreakBefore w:val="0"/>
              <w:kinsoku/>
              <w:wordWrap/>
              <w:overflowPunct/>
              <w:topLinePunct w:val="0"/>
              <w:autoSpaceDE/>
              <w:autoSpaceDN/>
              <w:bidi w:val="0"/>
              <w:adjustRightInd/>
              <w:spacing w:line="460" w:lineRule="exact"/>
              <w:ind w:firstLine="420" w:firstLineChars="200"/>
              <w:jc w:val="left"/>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 xml:space="preserve">6. </w:t>
            </w:r>
            <w:r>
              <w:rPr>
                <w:rFonts w:hint="eastAsia" w:ascii="宋体" w:hAnsi="宋体" w:eastAsia="宋体" w:cs="宋体"/>
                <w:b/>
                <w:color w:val="auto"/>
                <w:sz w:val="21"/>
                <w:szCs w:val="21"/>
              </w:rPr>
              <w:t>如果投标文件未按上述规定封装，比选人或比选代理机构应当当场退还其投标文件。</w:t>
            </w:r>
          </w:p>
          <w:p>
            <w:pPr>
              <w:keepNext w:val="0"/>
              <w:keepLines w:val="0"/>
              <w:pageBreakBefore w:val="0"/>
              <w:kinsoku/>
              <w:wordWrap/>
              <w:overflowPunct/>
              <w:topLinePunct w:val="0"/>
              <w:autoSpaceDE/>
              <w:autoSpaceDN/>
              <w:bidi w:val="0"/>
              <w:adjustRightInd/>
              <w:spacing w:line="460" w:lineRule="exact"/>
              <w:ind w:firstLine="422" w:firstLineChars="200"/>
              <w:jc w:val="left"/>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注：如投标文件较厚，上述各部分投标文件不能装入相应的一个袋中，投标人可按上述要求增加投标文件袋。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4.1.2</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封套上写明</w:t>
            </w:r>
          </w:p>
        </w:tc>
        <w:tc>
          <w:tcPr>
            <w:tcW w:w="7189" w:type="dxa"/>
            <w:noWrap w:val="0"/>
            <w:vAlign w:val="center"/>
          </w:tcPr>
          <w:p>
            <w:pPr>
              <w:keepNext w:val="0"/>
              <w:keepLines w:val="0"/>
              <w:pageBreakBefore w:val="0"/>
              <w:kinsoku/>
              <w:wordWrap/>
              <w:overflowPunct/>
              <w:topLinePunct w:val="0"/>
              <w:autoSpaceDE/>
              <w:autoSpaceDN/>
              <w:bidi w:val="0"/>
              <w:adjustRightInd/>
              <w:snapToGrid w:val="0"/>
              <w:spacing w:line="4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应在“投标文件”大袋、“资格审查资料”封套上写明如下内容：</w:t>
            </w:r>
          </w:p>
          <w:p>
            <w:pPr>
              <w:keepNext w:val="0"/>
              <w:keepLines w:val="0"/>
              <w:pageBreakBefore w:val="0"/>
              <w:kinsoku/>
              <w:wordWrap/>
              <w:overflowPunct/>
              <w:topLinePunct w:val="0"/>
              <w:autoSpaceDE/>
              <w:autoSpaceDN/>
              <w:bidi w:val="0"/>
              <w:adjustRightInd/>
              <w:snapToGrid w:val="0"/>
              <w:spacing w:line="460" w:lineRule="exact"/>
              <w:ind w:firstLine="420" w:firstLineChars="200"/>
              <w:jc w:val="left"/>
              <w:textAlignment w:val="auto"/>
              <w:rPr>
                <w:rFonts w:hint="eastAsia" w:ascii="宋体" w:hAnsi="宋体" w:eastAsia="宋体" w:cs="宋体"/>
                <w:color w:val="auto"/>
                <w:kern w:val="0"/>
                <w:sz w:val="21"/>
                <w:szCs w:val="21"/>
                <w:u w:val="single"/>
                <w:lang w:val="en-US" w:eastAsia="zh-CN"/>
              </w:rPr>
            </w:pPr>
            <w:r>
              <w:rPr>
                <w:rFonts w:hint="eastAsia" w:ascii="宋体" w:hAnsi="宋体" w:eastAsia="宋体" w:cs="宋体"/>
                <w:color w:val="auto"/>
                <w:kern w:val="0"/>
                <w:sz w:val="21"/>
                <w:szCs w:val="21"/>
              </w:rPr>
              <w:t>比选人的地址：</w:t>
            </w:r>
            <w:r>
              <w:rPr>
                <w:rFonts w:hint="eastAsia" w:ascii="宋体" w:hAnsi="宋体" w:eastAsia="宋体" w:cs="宋体"/>
                <w:color w:val="auto"/>
                <w:kern w:val="0"/>
                <w:sz w:val="21"/>
                <w:szCs w:val="21"/>
                <w:u w:val="single"/>
                <w:lang w:eastAsia="zh-CN"/>
              </w:rPr>
              <w:t>重庆市铜梁区中兴路45号</w:t>
            </w:r>
          </w:p>
          <w:p>
            <w:pPr>
              <w:keepNext w:val="0"/>
              <w:keepLines w:val="0"/>
              <w:pageBreakBefore w:val="0"/>
              <w:kinsoku/>
              <w:wordWrap/>
              <w:overflowPunct/>
              <w:topLinePunct w:val="0"/>
              <w:autoSpaceDE/>
              <w:autoSpaceDN/>
              <w:bidi w:val="0"/>
              <w:adjustRightInd/>
              <w:snapToGrid w:val="0"/>
              <w:spacing w:line="460" w:lineRule="exact"/>
              <w:ind w:firstLine="420" w:firstLineChars="200"/>
              <w:jc w:val="left"/>
              <w:textAlignment w:val="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rPr>
              <w:t>比选人名称：</w:t>
            </w:r>
            <w:r>
              <w:rPr>
                <w:rFonts w:hint="eastAsia" w:ascii="宋体" w:hAnsi="宋体" w:cs="宋体"/>
                <w:color w:val="auto"/>
                <w:kern w:val="0"/>
                <w:sz w:val="21"/>
                <w:szCs w:val="21"/>
                <w:u w:val="single"/>
                <w:lang w:eastAsia="zh-CN"/>
              </w:rPr>
              <w:t>重庆安居古城华夏文化旅游发展有限公司</w:t>
            </w:r>
          </w:p>
          <w:p>
            <w:pPr>
              <w:keepNext w:val="0"/>
              <w:keepLines w:val="0"/>
              <w:pageBreakBefore w:val="0"/>
              <w:kinsoku/>
              <w:wordWrap/>
              <w:overflowPunct/>
              <w:topLinePunct w:val="0"/>
              <w:autoSpaceDE/>
              <w:autoSpaceDN/>
              <w:bidi w:val="0"/>
              <w:adjustRightInd/>
              <w:snapToGrid w:val="0"/>
              <w:spacing w:line="460" w:lineRule="exact"/>
              <w:ind w:firstLine="420" w:firstLineChars="200"/>
              <w:jc w:val="left"/>
              <w:textAlignment w:val="auto"/>
              <w:rPr>
                <w:rFonts w:hint="eastAsia" w:ascii="宋体" w:hAnsi="宋体" w:eastAsia="宋体" w:cs="宋体"/>
                <w:snapToGrid w:val="0"/>
                <w:color w:val="auto"/>
                <w:kern w:val="0"/>
                <w:sz w:val="21"/>
                <w:szCs w:val="21"/>
                <w:u w:val="single"/>
              </w:rPr>
            </w:pPr>
            <w:r>
              <w:rPr>
                <w:rFonts w:hint="eastAsia" w:ascii="宋体" w:hAnsi="宋体" w:eastAsia="宋体" w:cs="宋体"/>
                <w:color w:val="auto"/>
                <w:kern w:val="0"/>
                <w:sz w:val="21"/>
                <w:szCs w:val="21"/>
                <w:u w:val="single"/>
                <w:lang w:val="en-US" w:eastAsia="zh-CN"/>
              </w:rPr>
              <w:t xml:space="preserve"> </w:t>
            </w:r>
            <w:r>
              <w:rPr>
                <w:rFonts w:hint="eastAsia" w:ascii="宋体" w:hAnsi="宋体" w:cs="宋体"/>
                <w:color w:val="auto"/>
                <w:kern w:val="0"/>
                <w:sz w:val="21"/>
                <w:szCs w:val="21"/>
                <w:u w:val="single"/>
                <w:lang w:eastAsia="zh-CN"/>
              </w:rPr>
              <w:t>安居古城书香文化街（配套部分）项目</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rPr>
              <w:t>投标文件</w:t>
            </w:r>
          </w:p>
          <w:p>
            <w:pPr>
              <w:keepNext w:val="0"/>
              <w:keepLines w:val="0"/>
              <w:pageBreakBefore w:val="0"/>
              <w:kinsoku/>
              <w:wordWrap/>
              <w:overflowPunct/>
              <w:topLinePunct w:val="0"/>
              <w:autoSpaceDE/>
              <w:autoSpaceDN/>
              <w:bidi w:val="0"/>
              <w:adjustRightInd/>
              <w:snapToGrid w:val="0"/>
              <w:spacing w:line="4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w:t>
            </w:r>
            <w:r>
              <w:rPr>
                <w:rFonts w:hint="eastAsia" w:ascii="宋体" w:hAnsi="宋体" w:eastAsia="宋体" w:cs="宋体"/>
                <w:color w:val="auto"/>
                <w:kern w:val="0"/>
                <w:sz w:val="21"/>
                <w:szCs w:val="21"/>
                <w:u w:val="single"/>
                <w:lang w:val="en-US" w:eastAsia="zh-CN"/>
              </w:rPr>
              <w:t>2022年</w:t>
            </w:r>
            <w:r>
              <w:rPr>
                <w:rFonts w:hint="eastAsia" w:ascii="宋体" w:hAnsi="宋体" w:cs="宋体"/>
                <w:b w:val="0"/>
                <w:bCs/>
                <w:color w:val="auto"/>
                <w:kern w:val="0"/>
                <w:sz w:val="21"/>
                <w:szCs w:val="21"/>
                <w:u w:val="single"/>
                <w:lang w:val="en-US" w:eastAsia="zh-CN"/>
              </w:rPr>
              <w:t>7月13日</w:t>
            </w:r>
            <w:r>
              <w:rPr>
                <w:rFonts w:hint="eastAsia" w:ascii="宋体" w:hAnsi="宋体" w:cs="MingLiU"/>
                <w:b w:val="0"/>
                <w:bCs/>
                <w:snapToGrid w:val="0"/>
                <w:color w:val="auto"/>
                <w:kern w:val="0"/>
                <w:sz w:val="21"/>
                <w:szCs w:val="21"/>
                <w:u w:val="single"/>
                <w:lang w:val="en-US" w:eastAsia="zh-CN"/>
              </w:rPr>
              <w:t>9时30分</w:t>
            </w:r>
            <w:r>
              <w:rPr>
                <w:rFonts w:hint="eastAsia" w:ascii="宋体" w:hAnsi="宋体" w:eastAsia="宋体" w:cs="宋体"/>
                <w:color w:val="auto"/>
                <w:sz w:val="21"/>
                <w:szCs w:val="21"/>
              </w:rPr>
              <w:t>（规定的开标时间）前</w:t>
            </w:r>
            <w:r>
              <w:rPr>
                <w:rFonts w:hint="eastAsia" w:ascii="宋体" w:hAnsi="宋体" w:eastAsia="宋体" w:cs="宋体"/>
                <w:color w:val="auto"/>
                <w:kern w:val="0"/>
                <w:sz w:val="21"/>
                <w:szCs w:val="21"/>
              </w:rPr>
              <w:t>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4.2.2</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递交投标文件的时间和地点</w:t>
            </w:r>
          </w:p>
        </w:tc>
        <w:tc>
          <w:tcPr>
            <w:tcW w:w="7189" w:type="dxa"/>
            <w:noWrap w:val="0"/>
            <w:vAlign w:val="center"/>
          </w:tcPr>
          <w:p>
            <w:pPr>
              <w:keepNext w:val="0"/>
              <w:keepLines w:val="0"/>
              <w:pageBreakBefore w:val="0"/>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时间：</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eastAsia="zh-CN"/>
              </w:rPr>
              <w:t>202</w:t>
            </w:r>
            <w:r>
              <w:rPr>
                <w:rFonts w:hint="eastAsia" w:ascii="宋体" w:hAnsi="宋体" w:eastAsia="宋体" w:cs="宋体"/>
                <w:color w:val="auto"/>
                <w:kern w:val="0"/>
                <w:sz w:val="21"/>
                <w:szCs w:val="21"/>
                <w:u w:val="single"/>
                <w:lang w:val="en-US" w:eastAsia="zh-CN"/>
              </w:rPr>
              <w:t>2</w:t>
            </w:r>
            <w:r>
              <w:rPr>
                <w:rFonts w:hint="eastAsia" w:ascii="宋体" w:hAnsi="宋体" w:eastAsia="宋体" w:cs="宋体"/>
                <w:color w:val="auto"/>
                <w:kern w:val="0"/>
                <w:sz w:val="21"/>
                <w:szCs w:val="21"/>
                <w:u w:val="single"/>
                <w:lang w:eastAsia="zh-CN"/>
              </w:rPr>
              <w:t>年</w:t>
            </w:r>
            <w:r>
              <w:rPr>
                <w:rFonts w:hint="eastAsia" w:ascii="宋体" w:hAnsi="宋体" w:cs="宋体"/>
                <w:b w:val="0"/>
                <w:bCs/>
                <w:color w:val="auto"/>
                <w:kern w:val="0"/>
                <w:sz w:val="21"/>
                <w:szCs w:val="21"/>
                <w:u w:val="single"/>
                <w:lang w:val="en-US" w:eastAsia="zh-CN"/>
              </w:rPr>
              <w:t>7月13日</w:t>
            </w:r>
            <w:r>
              <w:rPr>
                <w:rFonts w:hint="eastAsia" w:ascii="宋体" w:hAnsi="宋体" w:cs="MingLiU"/>
                <w:b w:val="0"/>
                <w:bCs/>
                <w:snapToGrid w:val="0"/>
                <w:color w:val="auto"/>
                <w:kern w:val="0"/>
                <w:sz w:val="21"/>
                <w:szCs w:val="21"/>
                <w:u w:val="single"/>
                <w:lang w:val="en-US" w:eastAsia="zh-CN"/>
              </w:rPr>
              <w:t>9时00分</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eastAsia="zh-CN"/>
              </w:rPr>
              <w:t>202</w:t>
            </w:r>
            <w:r>
              <w:rPr>
                <w:rFonts w:hint="eastAsia" w:ascii="宋体" w:hAnsi="宋体" w:eastAsia="宋体" w:cs="宋体"/>
                <w:color w:val="auto"/>
                <w:kern w:val="0"/>
                <w:sz w:val="21"/>
                <w:szCs w:val="21"/>
                <w:u w:val="single"/>
                <w:lang w:val="en-US" w:eastAsia="zh-CN"/>
              </w:rPr>
              <w:t>2</w:t>
            </w:r>
            <w:r>
              <w:rPr>
                <w:rFonts w:hint="eastAsia" w:ascii="宋体" w:hAnsi="宋体" w:eastAsia="宋体" w:cs="宋体"/>
                <w:color w:val="auto"/>
                <w:kern w:val="0"/>
                <w:sz w:val="21"/>
                <w:szCs w:val="21"/>
                <w:u w:val="single"/>
                <w:lang w:eastAsia="zh-CN"/>
              </w:rPr>
              <w:t>年</w:t>
            </w:r>
            <w:r>
              <w:rPr>
                <w:rFonts w:hint="eastAsia" w:ascii="宋体" w:hAnsi="宋体" w:cs="宋体"/>
                <w:b w:val="0"/>
                <w:bCs/>
                <w:color w:val="auto"/>
                <w:kern w:val="0"/>
                <w:sz w:val="21"/>
                <w:szCs w:val="21"/>
                <w:u w:val="single"/>
                <w:lang w:val="en-US" w:eastAsia="zh-CN"/>
              </w:rPr>
              <w:t>7月13日</w:t>
            </w:r>
            <w:r>
              <w:rPr>
                <w:rFonts w:hint="eastAsia" w:ascii="宋体" w:hAnsi="宋体" w:cs="MingLiU"/>
                <w:b w:val="0"/>
                <w:bCs/>
                <w:snapToGrid w:val="0"/>
                <w:color w:val="auto"/>
                <w:kern w:val="0"/>
                <w:sz w:val="21"/>
                <w:szCs w:val="21"/>
                <w:u w:val="single"/>
                <w:lang w:val="en-US" w:eastAsia="zh-CN"/>
              </w:rPr>
              <w:t>9时30分</w:t>
            </w:r>
            <w:r>
              <w:rPr>
                <w:rFonts w:hint="eastAsia" w:ascii="宋体" w:hAnsi="宋体" w:eastAsia="宋体" w:cs="宋体"/>
                <w:color w:val="auto"/>
                <w:kern w:val="0"/>
                <w:sz w:val="21"/>
                <w:szCs w:val="21"/>
              </w:rPr>
              <w:t xml:space="preserve">（北京时间）  </w:t>
            </w:r>
          </w:p>
          <w:p>
            <w:pPr>
              <w:keepNext w:val="0"/>
              <w:keepLines w:val="0"/>
              <w:pageBreakBefore w:val="0"/>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地点：</w:t>
            </w:r>
            <w:r>
              <w:rPr>
                <w:rFonts w:hint="eastAsia" w:ascii="宋体" w:hAnsi="宋体" w:cs="宋体"/>
                <w:color w:val="auto"/>
                <w:kern w:val="0"/>
                <w:sz w:val="21"/>
                <w:szCs w:val="21"/>
                <w:lang w:eastAsia="zh-CN"/>
              </w:rPr>
              <w:t>重庆安居古城华夏文化旅游发展有限公司会议室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4.2.3</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是否退还投标文件</w:t>
            </w:r>
          </w:p>
        </w:tc>
        <w:tc>
          <w:tcPr>
            <w:tcW w:w="7189" w:type="dxa"/>
            <w:noWrap w:val="0"/>
            <w:vAlign w:val="center"/>
          </w:tcPr>
          <w:p>
            <w:pPr>
              <w:keepNext w:val="0"/>
              <w:keepLines w:val="0"/>
              <w:pageBreakBefore w:val="0"/>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eq \o\ac(□,</w:instrText>
            </w:r>
            <w:r>
              <w:rPr>
                <w:rFonts w:hint="eastAsia" w:ascii="宋体" w:hAnsi="宋体" w:eastAsia="宋体" w:cs="宋体"/>
                <w:color w:val="auto"/>
                <w:kern w:val="0"/>
                <w:position w:val="1"/>
                <w:sz w:val="21"/>
                <w:szCs w:val="21"/>
              </w:rPr>
              <w:instrText xml:space="preserve">√</w:instrText>
            </w:r>
            <w:r>
              <w:rPr>
                <w:rFonts w:hint="eastAsia" w:ascii="宋体" w:hAnsi="宋体" w:eastAsia="宋体" w:cs="宋体"/>
                <w:color w:val="auto"/>
                <w:kern w:val="0"/>
                <w:sz w:val="21"/>
                <w:szCs w:val="21"/>
              </w:rPr>
              <w:instrText xml:space="preserve">)</w:instrTex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开标时间和地点</w:t>
            </w:r>
          </w:p>
        </w:tc>
        <w:tc>
          <w:tcPr>
            <w:tcW w:w="7189" w:type="dxa"/>
            <w:noWrap w:val="0"/>
            <w:vAlign w:val="center"/>
          </w:tcPr>
          <w:p>
            <w:pPr>
              <w:keepNext w:val="0"/>
              <w:keepLines w:val="0"/>
              <w:pageBreakBefore w:val="0"/>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开标时间：</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eastAsia="zh-CN"/>
              </w:rPr>
              <w:t>202</w:t>
            </w:r>
            <w:r>
              <w:rPr>
                <w:rFonts w:hint="eastAsia" w:ascii="宋体" w:hAnsi="宋体" w:eastAsia="宋体" w:cs="宋体"/>
                <w:color w:val="auto"/>
                <w:kern w:val="0"/>
                <w:sz w:val="21"/>
                <w:szCs w:val="21"/>
                <w:u w:val="single"/>
                <w:lang w:val="en-US" w:eastAsia="zh-CN"/>
              </w:rPr>
              <w:t>2</w:t>
            </w:r>
            <w:r>
              <w:rPr>
                <w:rFonts w:hint="eastAsia" w:ascii="宋体" w:hAnsi="宋体" w:eastAsia="宋体" w:cs="宋体"/>
                <w:color w:val="auto"/>
                <w:kern w:val="0"/>
                <w:sz w:val="21"/>
                <w:szCs w:val="21"/>
                <w:u w:val="single"/>
                <w:lang w:eastAsia="zh-CN"/>
              </w:rPr>
              <w:t>年</w:t>
            </w:r>
            <w:r>
              <w:rPr>
                <w:rFonts w:hint="eastAsia" w:ascii="宋体" w:hAnsi="宋体" w:cs="宋体"/>
                <w:b w:val="0"/>
                <w:bCs/>
                <w:color w:val="auto"/>
                <w:kern w:val="0"/>
                <w:sz w:val="21"/>
                <w:szCs w:val="21"/>
                <w:u w:val="single"/>
                <w:lang w:val="en-US" w:eastAsia="zh-CN"/>
              </w:rPr>
              <w:t>7月13日</w:t>
            </w:r>
            <w:r>
              <w:rPr>
                <w:rFonts w:hint="eastAsia" w:ascii="宋体" w:hAnsi="宋体" w:cs="MingLiU"/>
                <w:b w:val="0"/>
                <w:bCs/>
                <w:snapToGrid w:val="0"/>
                <w:color w:val="auto"/>
                <w:kern w:val="0"/>
                <w:sz w:val="21"/>
                <w:szCs w:val="21"/>
                <w:u w:val="single"/>
                <w:lang w:val="en-US" w:eastAsia="zh-CN"/>
              </w:rPr>
              <w:t>9时30分</w:t>
            </w:r>
            <w:r>
              <w:rPr>
                <w:rFonts w:hint="eastAsia" w:ascii="宋体" w:hAnsi="宋体" w:eastAsia="宋体" w:cs="宋体"/>
                <w:color w:val="auto"/>
                <w:kern w:val="0"/>
                <w:sz w:val="21"/>
                <w:szCs w:val="21"/>
              </w:rPr>
              <w:t>（北京时间）</w:t>
            </w:r>
          </w:p>
          <w:p>
            <w:pPr>
              <w:keepNext w:val="0"/>
              <w:keepLines w:val="0"/>
              <w:pageBreakBefore w:val="0"/>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rPr>
              <w:t>开标地点：</w:t>
            </w:r>
            <w:r>
              <w:rPr>
                <w:rFonts w:hint="eastAsia" w:ascii="宋体" w:hAnsi="宋体" w:cs="宋体"/>
                <w:snapToGrid w:val="0"/>
                <w:color w:val="auto"/>
                <w:kern w:val="0"/>
                <w:sz w:val="21"/>
                <w:szCs w:val="21"/>
                <w:lang w:val="en-US" w:eastAsia="zh-CN"/>
              </w:rPr>
              <w:t>重庆安居古城华夏文化旅游发展有限公司会议室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5.2</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开标程序</w:t>
            </w:r>
          </w:p>
        </w:tc>
        <w:tc>
          <w:tcPr>
            <w:tcW w:w="7189" w:type="dxa"/>
            <w:noWrap w:val="0"/>
            <w:vAlign w:val="center"/>
          </w:tcPr>
          <w:p>
            <w:pPr>
              <w:keepNext w:val="0"/>
              <w:keepLines w:val="0"/>
              <w:pageBreakBefore w:val="0"/>
              <w:kinsoku/>
              <w:wordWrap/>
              <w:overflowPunct/>
              <w:topLinePunct w:val="0"/>
              <w:autoSpaceDE/>
              <w:autoSpaceDN/>
              <w:bidi w:val="0"/>
              <w:adjustRightInd/>
              <w:snapToGrid w:val="0"/>
              <w:spacing w:line="4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主持人按下列程序进行开标：</w:t>
            </w:r>
          </w:p>
          <w:p>
            <w:pPr>
              <w:keepNext w:val="0"/>
              <w:keepLines w:val="0"/>
              <w:pageBreakBefore w:val="0"/>
              <w:kinsoku/>
              <w:wordWrap/>
              <w:overflowPunct/>
              <w:topLinePunct w:val="0"/>
              <w:autoSpaceDE/>
              <w:autoSpaceDN/>
              <w:bidi w:val="0"/>
              <w:adjustRightInd/>
              <w:snapToGrid w:val="0"/>
              <w:spacing w:line="4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1.宣布开标纪律。</w:t>
            </w:r>
          </w:p>
          <w:p>
            <w:pPr>
              <w:keepNext w:val="0"/>
              <w:keepLines w:val="0"/>
              <w:pageBreakBefore w:val="0"/>
              <w:kinsoku/>
              <w:wordWrap/>
              <w:overflowPunct/>
              <w:topLinePunct w:val="0"/>
              <w:autoSpaceDE/>
              <w:autoSpaceDN/>
              <w:bidi w:val="0"/>
              <w:adjustRightInd/>
              <w:snapToGrid w:val="0"/>
              <w:spacing w:line="4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2.宣布开标人、唱标人、记录人、监标人等有关人员姓名。</w:t>
            </w:r>
          </w:p>
          <w:p>
            <w:pPr>
              <w:keepNext w:val="0"/>
              <w:keepLines w:val="0"/>
              <w:pageBreakBefore w:val="0"/>
              <w:kinsoku/>
              <w:wordWrap/>
              <w:overflowPunct/>
              <w:topLinePunct w:val="0"/>
              <w:autoSpaceDE/>
              <w:autoSpaceDN/>
              <w:bidi w:val="0"/>
              <w:adjustRightInd/>
              <w:snapToGrid w:val="0"/>
              <w:spacing w:line="4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3.公布在投标截止时间前递交投标文件的投标人名称，并点名确认投标人是否派人到场。</w:t>
            </w:r>
          </w:p>
          <w:p>
            <w:pPr>
              <w:keepNext w:val="0"/>
              <w:keepLines w:val="0"/>
              <w:pageBreakBefore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b w:val="0"/>
                <w:bCs w:val="0"/>
                <w:color w:val="auto"/>
                <w:kern w:val="0"/>
                <w:sz w:val="21"/>
                <w:szCs w:val="21"/>
                <w:lang w:val="en-US" w:eastAsia="zh-CN"/>
              </w:rPr>
              <w:t>4.</w:t>
            </w:r>
            <w:r>
              <w:rPr>
                <w:rFonts w:hint="eastAsia" w:ascii="宋体" w:hAnsi="宋体" w:eastAsia="宋体" w:cs="宋体"/>
                <w:b w:val="0"/>
                <w:bCs w:val="0"/>
                <w:color w:val="auto"/>
                <w:kern w:val="0"/>
                <w:sz w:val="21"/>
                <w:szCs w:val="21"/>
              </w:rPr>
              <w:t>核验参加开标会议的投标人的法定代表人或授权委托代理人本人身份证（原件），以确认其身份合法有效。若投标人的法定代表人或授权委托代理人身份核验不合格，则当场退还其投标文件。</w:t>
            </w:r>
          </w:p>
          <w:p>
            <w:pPr>
              <w:keepNext w:val="0"/>
              <w:keepLines w:val="0"/>
              <w:pageBreakBefore w:val="0"/>
              <w:kinsoku/>
              <w:wordWrap/>
              <w:overflowPunct/>
              <w:topLinePunct w:val="0"/>
              <w:autoSpaceDE/>
              <w:autoSpaceDN/>
              <w:bidi w:val="0"/>
              <w:adjustRightInd/>
              <w:snapToGrid w:val="0"/>
              <w:spacing w:line="4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5.核验投标保证金缴款情况，未在规定时间或未足额或</w:t>
            </w:r>
            <w:r>
              <w:rPr>
                <w:rFonts w:hint="eastAsia" w:ascii="宋体" w:hAnsi="宋体" w:eastAsia="宋体" w:cs="宋体"/>
                <w:color w:val="auto"/>
                <w:sz w:val="21"/>
                <w:szCs w:val="21"/>
                <w:lang w:val="en-US" w:eastAsia="zh-CN"/>
              </w:rPr>
              <w:t>缴纳投标保证金</w:t>
            </w:r>
            <w:r>
              <w:rPr>
                <w:rFonts w:hint="eastAsia" w:ascii="宋体" w:hAnsi="宋体" w:eastAsia="宋体" w:cs="宋体"/>
                <w:color w:val="auto"/>
                <w:sz w:val="21"/>
                <w:szCs w:val="21"/>
              </w:rPr>
              <w:t>，当场退还其投标文件。</w:t>
            </w:r>
          </w:p>
          <w:p>
            <w:pPr>
              <w:keepNext w:val="0"/>
              <w:keepLines w:val="0"/>
              <w:pageBreakBefore w:val="0"/>
              <w:kinsoku/>
              <w:wordWrap/>
              <w:overflowPunct/>
              <w:topLinePunct w:val="0"/>
              <w:autoSpaceDE/>
              <w:autoSpaceDN/>
              <w:bidi w:val="0"/>
              <w:adjustRightInd/>
              <w:snapToGrid w:val="0"/>
              <w:spacing w:line="4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6.密封情况检查：投标人或者其推选的投标人代表检查投标文件的密封情况并确认。</w:t>
            </w:r>
          </w:p>
          <w:p>
            <w:pPr>
              <w:keepNext w:val="0"/>
              <w:keepLines w:val="0"/>
              <w:pageBreakBefore w:val="0"/>
              <w:kinsoku/>
              <w:wordWrap/>
              <w:overflowPunct/>
              <w:topLinePunct w:val="0"/>
              <w:autoSpaceDE/>
              <w:autoSpaceDN/>
              <w:bidi w:val="0"/>
              <w:adjustRightInd/>
              <w:snapToGrid w:val="0"/>
              <w:spacing w:line="4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7.公布最高限价。</w:t>
            </w:r>
          </w:p>
          <w:p>
            <w:pPr>
              <w:pageBreakBefore w:val="0"/>
              <w:kinsoku/>
              <w:wordWrap/>
              <w:overflowPunct/>
              <w:topLinePunct w:val="0"/>
              <w:bidi w:val="0"/>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8.开启投标文件顺序：随机开启；</w:t>
            </w:r>
          </w:p>
          <w:p>
            <w:pPr>
              <w:pageBreakBefore w:val="0"/>
              <w:kinsoku/>
              <w:wordWrap/>
              <w:overflowPunct/>
              <w:topLinePunct w:val="0"/>
              <w:bidi w:val="0"/>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.按照宣布的开标顺序当众开标，开启资格审查资料袋、投标文件大袋及投标函部分袋、</w:t>
            </w:r>
            <w:r>
              <w:rPr>
                <w:rFonts w:hint="eastAsia" w:ascii="宋体" w:hAnsi="宋体" w:eastAsia="宋体" w:cs="宋体"/>
                <w:color w:val="auto"/>
                <w:sz w:val="21"/>
                <w:szCs w:val="21"/>
                <w:lang w:eastAsia="zh-CN"/>
              </w:rPr>
              <w:t>经济部分</w:t>
            </w:r>
            <w:r>
              <w:rPr>
                <w:rFonts w:hint="eastAsia" w:ascii="宋体" w:hAnsi="宋体" w:eastAsia="宋体" w:cs="宋体"/>
                <w:color w:val="auto"/>
                <w:sz w:val="21"/>
                <w:szCs w:val="21"/>
              </w:rPr>
              <w:t>袋、并公布投标人名称、投标报价、质量目标、工期及其他内容，记录在案。</w:t>
            </w:r>
          </w:p>
          <w:p>
            <w:pPr>
              <w:pageBreakBefore w:val="0"/>
              <w:kinsoku/>
              <w:wordWrap/>
              <w:overflowPunct/>
              <w:topLinePunct w:val="0"/>
              <w:bidi w:val="0"/>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.投标人代表、招标人代表、监标人、记录人等有关人员在开标记录上签字确认；</w:t>
            </w:r>
          </w:p>
          <w:p>
            <w:pPr>
              <w:keepNext w:val="0"/>
              <w:keepLines w:val="0"/>
              <w:pageBreakBefore w:val="0"/>
              <w:kinsoku/>
              <w:wordWrap/>
              <w:overflowPunct/>
              <w:topLinePunct w:val="0"/>
              <w:autoSpaceDE/>
              <w:autoSpaceDN/>
              <w:bidi w:val="0"/>
              <w:adjustRightInd/>
              <w:snapToGrid w:val="0"/>
              <w:spacing w:line="4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6.1</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评标委员会的组建</w:t>
            </w:r>
          </w:p>
        </w:tc>
        <w:tc>
          <w:tcPr>
            <w:tcW w:w="7189" w:type="dxa"/>
            <w:noWrap w:val="0"/>
            <w:vAlign w:val="center"/>
          </w:tcPr>
          <w:p>
            <w:pPr>
              <w:keepNext w:val="0"/>
              <w:keepLines w:val="0"/>
              <w:pageBreakBefore w:val="0"/>
              <w:kinsoku/>
              <w:wordWrap/>
              <w:overflowPunct/>
              <w:topLinePunct w:val="0"/>
              <w:autoSpaceDE/>
              <w:autoSpaceDN/>
              <w:bidi w:val="0"/>
              <w:adjustRightInd/>
              <w:snapToGrid w:val="0"/>
              <w:spacing w:line="4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1．评标委员会构成：</w:t>
            </w:r>
            <w:r>
              <w:rPr>
                <w:rFonts w:hint="eastAsia" w:ascii="宋体" w:hAnsi="宋体" w:eastAsia="宋体" w:cs="宋体"/>
                <w:color w:val="auto"/>
                <w:kern w:val="0"/>
                <w:sz w:val="21"/>
                <w:szCs w:val="21"/>
                <w:u w:val="single"/>
              </w:rPr>
              <w:t xml:space="preserve"> 3</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rPr>
              <w:t>人；</w:t>
            </w:r>
          </w:p>
          <w:p>
            <w:pPr>
              <w:keepNext w:val="0"/>
              <w:keepLines w:val="0"/>
              <w:pageBreakBefore w:val="0"/>
              <w:kinsoku/>
              <w:wordWrap/>
              <w:overflowPunct/>
              <w:topLinePunct w:val="0"/>
              <w:autoSpaceDE/>
              <w:autoSpaceDN/>
              <w:bidi w:val="0"/>
              <w:adjustRightInd/>
              <w:snapToGrid w:val="0"/>
              <w:spacing w:line="4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2．评标专家确定方式：</w:t>
            </w:r>
            <w:r>
              <w:rPr>
                <w:rFonts w:hint="eastAsia" w:ascii="宋体" w:hAnsi="宋体" w:cs="MingLiU"/>
                <w:snapToGrid w:val="0"/>
                <w:color w:val="auto"/>
                <w:kern w:val="0"/>
                <w:szCs w:val="21"/>
              </w:rPr>
              <w:t>由比选人依法组建</w:t>
            </w:r>
            <w:r>
              <w:rPr>
                <w:rFonts w:hint="eastAsia" w:ascii="宋体" w:hAnsi="宋体" w:eastAsia="宋体" w:cs="宋体"/>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7.1</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是否授权评标委员会确定中标人</w:t>
            </w:r>
          </w:p>
        </w:tc>
        <w:tc>
          <w:tcPr>
            <w:tcW w:w="7189" w:type="dxa"/>
            <w:noWrap w:val="0"/>
            <w:vAlign w:val="center"/>
          </w:tcPr>
          <w:p>
            <w:pPr>
              <w:keepNext w:val="0"/>
              <w:keepLines w:val="0"/>
              <w:pageBreakBefore w:val="0"/>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口是</w:t>
            </w:r>
          </w:p>
          <w:p>
            <w:pPr>
              <w:keepNext w:val="0"/>
              <w:keepLines w:val="0"/>
              <w:pageBreakBefore w:val="0"/>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eq \o\ac(□,</w:instrText>
            </w:r>
            <w:r>
              <w:rPr>
                <w:rFonts w:hint="eastAsia" w:ascii="宋体" w:hAnsi="宋体" w:eastAsia="宋体" w:cs="宋体"/>
                <w:color w:val="auto"/>
                <w:kern w:val="0"/>
                <w:position w:val="1"/>
                <w:sz w:val="21"/>
                <w:szCs w:val="21"/>
              </w:rPr>
              <w:instrText xml:space="preserve">√</w:instrText>
            </w:r>
            <w:r>
              <w:rPr>
                <w:rFonts w:hint="eastAsia" w:ascii="宋体" w:hAnsi="宋体" w:eastAsia="宋体" w:cs="宋体"/>
                <w:color w:val="auto"/>
                <w:kern w:val="0"/>
                <w:sz w:val="21"/>
                <w:szCs w:val="21"/>
              </w:rPr>
              <w:instrText xml:space="preserve">)</w:instrTex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否，推荐经评审得分由高到低排名前三名为中标候选人。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7.3.1</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履约担保</w:t>
            </w:r>
          </w:p>
        </w:tc>
        <w:tc>
          <w:tcPr>
            <w:tcW w:w="7189" w:type="dxa"/>
            <w:noWrap w:val="0"/>
            <w:vAlign w:val="center"/>
          </w:tcPr>
          <w:p>
            <w:pPr>
              <w:keepNext w:val="0"/>
              <w:keepLines w:val="0"/>
              <w:pageBreakBefore w:val="0"/>
              <w:kinsoku/>
              <w:wordWrap/>
              <w:overflowPunct/>
              <w:topLinePunct w:val="0"/>
              <w:autoSpaceDE/>
              <w:autoSpaceDN/>
              <w:bidi w:val="0"/>
              <w:adjustRightInd/>
              <w:spacing w:line="460" w:lineRule="exact"/>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1.担保形式：</w:t>
            </w:r>
            <w:r>
              <w:rPr>
                <w:rFonts w:hint="default" w:ascii="宋体" w:hAnsi="宋体" w:eastAsia="宋体" w:cs="宋体"/>
                <w:color w:val="auto"/>
                <w:sz w:val="21"/>
                <w:szCs w:val="21"/>
                <w:lang w:val="en-US" w:eastAsia="zh-CN"/>
              </w:rPr>
              <w:t>现金或银行保函或现金+银行保函的组合；采用银行保函形式的，保函必须为不可撤销且见索即付</w:t>
            </w:r>
          </w:p>
          <w:p>
            <w:pPr>
              <w:keepNext w:val="0"/>
              <w:keepLines w:val="0"/>
              <w:pageBreakBefore w:val="0"/>
              <w:kinsoku/>
              <w:wordWrap/>
              <w:overflowPunct/>
              <w:topLinePunct w:val="0"/>
              <w:autoSpaceDE/>
              <w:autoSpaceDN/>
              <w:bidi w:val="0"/>
              <w:adjustRightIn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2.金额：履约保证金金额为</w:t>
            </w:r>
            <w:r>
              <w:rPr>
                <w:rFonts w:hint="default" w:ascii="宋体" w:hAnsi="宋体" w:eastAsia="宋体" w:cs="宋体"/>
                <w:color w:val="auto"/>
                <w:sz w:val="21"/>
                <w:szCs w:val="21"/>
                <w:lang w:val="en-US" w:eastAsia="zh-CN"/>
              </w:rPr>
              <w:t>合同金额</w:t>
            </w:r>
            <w:r>
              <w:rPr>
                <w:rFonts w:hint="eastAsia" w:ascii="宋体" w:hAnsi="宋体" w:eastAsia="宋体" w:cs="宋体"/>
                <w:color w:val="auto"/>
                <w:sz w:val="21"/>
                <w:szCs w:val="21"/>
              </w:rPr>
              <w:t>的</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%，农民工工资保证金金额为</w:t>
            </w:r>
            <w:r>
              <w:rPr>
                <w:rFonts w:hint="default" w:ascii="宋体" w:hAnsi="宋体" w:eastAsia="宋体" w:cs="宋体"/>
                <w:color w:val="auto"/>
                <w:sz w:val="21"/>
                <w:szCs w:val="21"/>
                <w:lang w:val="en-US" w:eastAsia="zh-CN"/>
              </w:rPr>
              <w:t>合同金额</w:t>
            </w:r>
            <w:r>
              <w:rPr>
                <w:rFonts w:hint="eastAsia" w:ascii="宋体" w:hAnsi="宋体" w:eastAsia="宋体" w:cs="宋体"/>
                <w:color w:val="auto"/>
                <w:sz w:val="21"/>
                <w:szCs w:val="21"/>
              </w:rPr>
              <w:t>的2%。</w:t>
            </w:r>
          </w:p>
          <w:p>
            <w:pPr>
              <w:keepNext w:val="0"/>
              <w:keepLines w:val="0"/>
              <w:pageBreakBefore w:val="0"/>
              <w:kinsoku/>
              <w:wordWrap/>
              <w:overflowPunct/>
              <w:topLinePunct w:val="0"/>
              <w:autoSpaceDE/>
              <w:autoSpaceDN/>
              <w:bidi w:val="0"/>
              <w:adjustRightIn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3.递交时间：中标人应在收到中标通知书后</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日内，施工合同签订前按照比选人指定方式提交，若未按时提交，则视为中标人放弃中标，其投标保证金不予退还，给比选人造成的损失超过投标保证金数额的，中标人还应当对超过部分予以赔偿。</w:t>
            </w:r>
          </w:p>
          <w:p>
            <w:pPr>
              <w:keepNext w:val="0"/>
              <w:keepLines w:val="0"/>
              <w:pageBreakBefore w:val="0"/>
              <w:kinsoku/>
              <w:wordWrap/>
              <w:overflowPunct/>
              <w:topLinePunct w:val="0"/>
              <w:autoSpaceDE/>
              <w:autoSpaceDN/>
              <w:bidi w:val="0"/>
              <w:adjustRightInd/>
              <w:spacing w:line="460" w:lineRule="exact"/>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4.履约保证金返还：</w:t>
            </w:r>
            <w:r>
              <w:rPr>
                <w:rFonts w:hint="eastAsia" w:ascii="宋体" w:hAnsi="宋体" w:eastAsia="宋体" w:cs="宋体"/>
                <w:color w:val="auto"/>
                <w:sz w:val="21"/>
                <w:szCs w:val="21"/>
                <w:lang w:val="en-US" w:eastAsia="zh-CN"/>
              </w:rPr>
              <w:t>预</w:t>
            </w:r>
            <w:r>
              <w:rPr>
                <w:rFonts w:hint="default" w:ascii="宋体" w:hAnsi="宋体" w:eastAsia="宋体" w:cs="宋体"/>
                <w:color w:val="auto"/>
                <w:sz w:val="21"/>
                <w:szCs w:val="21"/>
                <w:lang w:val="en-US" w:eastAsia="zh-CN"/>
              </w:rPr>
              <w:t>验收合格后一个月内一次性退还。</w:t>
            </w:r>
          </w:p>
          <w:p>
            <w:pPr>
              <w:keepNext w:val="0"/>
              <w:keepLines w:val="0"/>
              <w:pageBreakBefore w:val="0"/>
              <w:kinsoku/>
              <w:wordWrap/>
              <w:overflowPunct/>
              <w:topLinePunct w:val="0"/>
              <w:autoSpaceDE/>
              <w:autoSpaceDN/>
              <w:bidi w:val="0"/>
              <w:adjustRightInd/>
              <w:spacing w:line="460" w:lineRule="exact"/>
              <w:ind w:firstLine="420" w:firstLineChars="200"/>
              <w:textAlignment w:val="auto"/>
              <w:rPr>
                <w:rFonts w:hint="eastAsia" w:ascii="宋体" w:hAnsi="宋体" w:eastAsia="宋体" w:cs="宋体"/>
                <w:color w:val="auto"/>
                <w:sz w:val="21"/>
                <w:szCs w:val="21"/>
                <w:highlight w:val="yellow"/>
                <w:lang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 xml:space="preserve"> 农民工工资保证金返还</w:t>
            </w:r>
            <w:r>
              <w:rPr>
                <w:rFonts w:hint="eastAsia" w:ascii="宋体" w:hAnsi="宋体" w:eastAsia="宋体" w:cs="宋体"/>
                <w:color w:val="auto"/>
                <w:sz w:val="21"/>
                <w:szCs w:val="21"/>
                <w:lang w:eastAsia="zh-CN"/>
              </w:rPr>
              <w:t>：</w:t>
            </w:r>
            <w:r>
              <w:rPr>
                <w:rFonts w:hint="default" w:ascii="宋体" w:hAnsi="宋体" w:eastAsia="宋体" w:cs="宋体"/>
                <w:color w:val="auto"/>
                <w:sz w:val="21"/>
                <w:szCs w:val="21"/>
                <w:lang w:val="en-US" w:eastAsia="zh-CN"/>
              </w:rPr>
              <w:t>竣工验收合格且支付完农民工工资后</w:t>
            </w:r>
            <w:r>
              <w:rPr>
                <w:rFonts w:hint="eastAsia" w:ascii="宋体" w:hAnsi="宋体" w:eastAsia="宋体" w:cs="宋体"/>
                <w:color w:val="auto"/>
                <w:sz w:val="21"/>
                <w:szCs w:val="21"/>
                <w:lang w:val="en-US" w:eastAsia="zh-CN"/>
              </w:rPr>
              <w:t>90日历天</w:t>
            </w:r>
            <w:r>
              <w:rPr>
                <w:rFonts w:hint="default" w:ascii="宋体" w:hAnsi="宋体" w:eastAsia="宋体" w:cs="宋体"/>
                <w:color w:val="auto"/>
                <w:sz w:val="21"/>
                <w:szCs w:val="21"/>
                <w:lang w:val="en-US" w:eastAsia="zh-CN"/>
              </w:rPr>
              <w:t>内一次性退还。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8.1</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重新比选</w:t>
            </w:r>
          </w:p>
        </w:tc>
        <w:tc>
          <w:tcPr>
            <w:tcW w:w="7189" w:type="dxa"/>
            <w:noWrap w:val="0"/>
            <w:vAlign w:val="center"/>
          </w:tcPr>
          <w:p>
            <w:pPr>
              <w:keepNext w:val="0"/>
              <w:keepLines w:val="0"/>
              <w:pageBreakBefore w:val="0"/>
              <w:kinsoku/>
              <w:wordWrap/>
              <w:overflowPunct/>
              <w:topLinePunct w:val="0"/>
              <w:autoSpaceDE/>
              <w:autoSpaceDN/>
              <w:bidi w:val="0"/>
              <w:adjustRightIn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1.按投标人须知第8.1（1）执行；</w:t>
            </w:r>
          </w:p>
          <w:p>
            <w:pPr>
              <w:keepNext w:val="0"/>
              <w:keepLines w:val="0"/>
              <w:pageBreakBefore w:val="0"/>
              <w:kinsoku/>
              <w:wordWrap/>
              <w:overflowPunct/>
              <w:topLinePunct w:val="0"/>
              <w:autoSpaceDE/>
              <w:autoSpaceDN/>
              <w:bidi w:val="0"/>
              <w:adjustRightIn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2.按投标人须知第8.1（2）执行；</w:t>
            </w:r>
          </w:p>
          <w:p>
            <w:pPr>
              <w:keepNext w:val="0"/>
              <w:keepLines w:val="0"/>
              <w:pageBreakBefore w:val="0"/>
              <w:kinsoku/>
              <w:wordWrap/>
              <w:overflowPunct/>
              <w:topLinePunct w:val="0"/>
              <w:autoSpaceDE/>
              <w:autoSpaceDN/>
              <w:bidi w:val="0"/>
              <w:adjustRightIn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3.按投标人须知第8.1（3）执行；</w:t>
            </w:r>
          </w:p>
          <w:p>
            <w:pPr>
              <w:keepNext w:val="0"/>
              <w:keepLines w:val="0"/>
              <w:pageBreakBefore w:val="0"/>
              <w:kinsoku/>
              <w:wordWrap/>
              <w:overflowPunct/>
              <w:topLinePunct w:val="0"/>
              <w:autoSpaceDE/>
              <w:autoSpaceDN/>
              <w:bidi w:val="0"/>
              <w:adjustRightInd/>
              <w:spacing w:line="46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4.按投标人须知第8.1（4）执行。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8.2</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snapToGrid w:val="0"/>
                <w:color w:val="auto"/>
                <w:sz w:val="21"/>
                <w:szCs w:val="21"/>
              </w:rPr>
              <w:t>二次比选和不再比选</w:t>
            </w:r>
          </w:p>
        </w:tc>
        <w:tc>
          <w:tcPr>
            <w:tcW w:w="7189" w:type="dxa"/>
            <w:noWrap w:val="0"/>
            <w:vAlign w:val="center"/>
          </w:tcPr>
          <w:p>
            <w:pPr>
              <w:keepNext w:val="0"/>
              <w:keepLines w:val="0"/>
              <w:pageBreakBefore w:val="0"/>
              <w:kinsoku/>
              <w:wordWrap/>
              <w:overflowPunct/>
              <w:topLinePunct w:val="0"/>
              <w:autoSpaceDE/>
              <w:autoSpaceDN/>
              <w:bidi w:val="0"/>
              <w:adjustRightIn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重新招标后投标人仍少于3个，按法定程序开标和评标，确定中标人。经评审无合格投标人，属于必须审批或核准的工程建设项目，经原审批或核准部门批准后不再进行招标。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10</w:t>
            </w:r>
          </w:p>
        </w:tc>
        <w:tc>
          <w:tcPr>
            <w:tcW w:w="8689" w:type="dxa"/>
            <w:gridSpan w:val="2"/>
            <w:noWrap w:val="0"/>
            <w:vAlign w:val="center"/>
          </w:tcPr>
          <w:p>
            <w:pPr>
              <w:keepNext w:val="0"/>
              <w:keepLines w:val="0"/>
              <w:pageBreakBefore w:val="0"/>
              <w:tabs>
                <w:tab w:val="left" w:pos="1502"/>
              </w:tabs>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10.1</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结算原则</w:t>
            </w:r>
          </w:p>
        </w:tc>
        <w:tc>
          <w:tcPr>
            <w:tcW w:w="7189" w:type="dxa"/>
            <w:noWrap w:val="0"/>
            <w:vAlign w:val="center"/>
          </w:tcPr>
          <w:p>
            <w:pPr>
              <w:keepNext w:val="0"/>
              <w:keepLines w:val="0"/>
              <w:pageBreakBefore w:val="0"/>
              <w:kinsoku/>
              <w:wordWrap/>
              <w:overflowPunct/>
              <w:topLinePunct w:val="0"/>
              <w:autoSpaceDE/>
              <w:autoSpaceDN/>
              <w:bidi w:val="0"/>
              <w:adjustRightInd/>
              <w:spacing w:line="46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1.工程价款＝合同内应予计量工程量×中标单价±增减（变更）工程造价±合同约定其他费用，最终结算金额以审计机构审定的金额为准。</w:t>
            </w:r>
          </w:p>
          <w:p>
            <w:pPr>
              <w:keepNext w:val="0"/>
              <w:keepLines w:val="0"/>
              <w:pageBreakBefore w:val="0"/>
              <w:kinsoku/>
              <w:wordWrap/>
              <w:overflowPunct/>
              <w:topLinePunct w:val="0"/>
              <w:autoSpaceDE/>
              <w:autoSpaceDN/>
              <w:bidi w:val="0"/>
              <w:adjustRightIn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2.增减（变更）工程结算： </w:t>
            </w:r>
          </w:p>
          <w:p>
            <w:pPr>
              <w:keepNext w:val="0"/>
              <w:keepLines w:val="0"/>
              <w:pageBreakBefore w:val="0"/>
              <w:kinsoku/>
              <w:wordWrap/>
              <w:overflowPunct/>
              <w:topLinePunct w:val="0"/>
              <w:autoSpaceDE/>
              <w:autoSpaceDN/>
              <w:bidi w:val="0"/>
              <w:adjustRightIn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（1）工程内容与已标价工程量清单中有相同的子项或类似子项，则按投标时的相同子项或类似子项的</w:t>
            </w:r>
            <w:r>
              <w:rPr>
                <w:rFonts w:hint="eastAsia" w:ascii="宋体" w:hAnsi="宋体" w:eastAsia="宋体" w:cs="宋体"/>
                <w:color w:val="auto"/>
                <w:sz w:val="21"/>
                <w:szCs w:val="21"/>
                <w:lang w:val="en-US" w:eastAsia="zh-CN"/>
              </w:rPr>
              <w:t>全费用</w:t>
            </w:r>
            <w:r>
              <w:rPr>
                <w:rFonts w:hint="eastAsia" w:ascii="宋体" w:hAnsi="宋体" w:eastAsia="宋体" w:cs="宋体"/>
                <w:color w:val="auto"/>
                <w:sz w:val="21"/>
                <w:szCs w:val="21"/>
              </w:rPr>
              <w:t>综合单价执行（类似子项及其</w:t>
            </w:r>
            <w:r>
              <w:rPr>
                <w:rFonts w:hint="eastAsia" w:ascii="宋体" w:hAnsi="宋体" w:eastAsia="宋体" w:cs="宋体"/>
                <w:color w:val="auto"/>
                <w:sz w:val="21"/>
                <w:szCs w:val="21"/>
                <w:lang w:val="en-US" w:eastAsia="zh-CN"/>
              </w:rPr>
              <w:t>全费用</w:t>
            </w:r>
            <w:r>
              <w:rPr>
                <w:rFonts w:hint="eastAsia" w:ascii="宋体" w:hAnsi="宋体" w:eastAsia="宋体" w:cs="宋体"/>
                <w:color w:val="auto"/>
                <w:sz w:val="21"/>
                <w:szCs w:val="21"/>
              </w:rPr>
              <w:t>综合单价由招标人审定）；</w:t>
            </w:r>
          </w:p>
          <w:p>
            <w:pPr>
              <w:keepNext w:val="0"/>
              <w:keepLines w:val="0"/>
              <w:pageBreakBefore w:val="0"/>
              <w:kinsoku/>
              <w:wordWrap/>
              <w:overflowPunct/>
              <w:topLinePunct w:val="0"/>
              <w:autoSpaceDE/>
              <w:autoSpaceDN/>
              <w:bidi w:val="0"/>
              <w:adjustRightInd/>
              <w:spacing w:line="46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2、结算总价=中标价±增减（变更）工程造价±合同约定的其他费用，最终结算金额以发包人委托的第三方结算审核单位审定的金额为准。工程内容与发包人发布的已标价工程量清单中有相同的子项或类似子项，则按相同子项或类似子项的综合单价执行（类似子项及其综合单价由发包人审定）；工程内容如有与发包人发布的已标价工程量清单中不同的子项（既无相同子项，又无类似子项），则结合审 核报告或相关计算定额、 法则及人工费、材料费取费期数；结算按照相关规定 和原则按投标下浮率进行结算。</w:t>
            </w:r>
          </w:p>
          <w:p>
            <w:pPr>
              <w:keepNext w:val="0"/>
              <w:keepLines w:val="0"/>
              <w:pageBreakBefore w:val="0"/>
              <w:kinsoku/>
              <w:wordWrap/>
              <w:overflowPunct/>
              <w:topLinePunct w:val="0"/>
              <w:autoSpaceDE/>
              <w:autoSpaceDN/>
              <w:bidi w:val="0"/>
              <w:adjustRightInd/>
              <w:spacing w:line="4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3.安全文明施工费：按《关于印发</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重庆市建设工程安全文明施工费计取及使用管理规定</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的通知》（渝建发</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2014</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25号）及《重庆市城乡建设委员会关于建筑业营业税改增值税调整建设工程计价依据的通知》（渝建发〔2016〕35号）</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重庆市城乡建设委员会关于适用增值税新税税率调整建筑工程计价依据的通知</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渝建</w:t>
            </w:r>
            <w:r>
              <w:rPr>
                <w:rFonts w:hint="eastAsia" w:ascii="宋体" w:hAnsi="宋体" w:eastAsia="宋体" w:cs="宋体"/>
                <w:color w:val="auto"/>
                <w:kern w:val="0"/>
                <w:sz w:val="21"/>
                <w:szCs w:val="21"/>
              </w:rPr>
              <w:t>〔201</w:t>
            </w: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143</w:t>
            </w:r>
            <w:r>
              <w:rPr>
                <w:rFonts w:hint="eastAsia" w:ascii="宋体" w:hAnsi="宋体" w:eastAsia="宋体" w:cs="宋体"/>
                <w:color w:val="auto"/>
                <w:kern w:val="0"/>
                <w:sz w:val="21"/>
                <w:szCs w:val="21"/>
              </w:rPr>
              <w:t>号</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规定进行结算，安全文明施工综合评定结果为不合格，则不计取。</w:t>
            </w:r>
          </w:p>
          <w:p>
            <w:pPr>
              <w:keepNext w:val="0"/>
              <w:keepLines w:val="0"/>
              <w:pageBreakBefore w:val="0"/>
              <w:kinsoku/>
              <w:wordWrap/>
              <w:overflowPunct/>
              <w:topLinePunct w:val="0"/>
              <w:autoSpaceDE/>
              <w:autoSpaceDN/>
              <w:bidi w:val="0"/>
              <w:adjustRightInd/>
              <w:spacing w:line="4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4.施工技术措施项目清单计价表中以项为单位计列的项目，按投标时的报价作为结算价，包干使用。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10.2</w:t>
            </w:r>
          </w:p>
        </w:tc>
        <w:tc>
          <w:tcPr>
            <w:tcW w:w="1500" w:type="dxa"/>
            <w:noWrap w:val="0"/>
            <w:vAlign w:val="center"/>
          </w:tcPr>
          <w:p>
            <w:pPr>
              <w:pageBreakBefore w:val="0"/>
              <w:kinsoku/>
              <w:wordWrap/>
              <w:overflowPunct/>
              <w:topLinePunct w:val="0"/>
              <w:bidi w:val="0"/>
              <w:snapToGrid w:val="0"/>
              <w:spacing w:line="400" w:lineRule="exact"/>
              <w:jc w:val="center"/>
              <w:textAlignment w:val="auto"/>
              <w:rPr>
                <w:rFonts w:ascii="宋体" w:hAnsi="宋体"/>
                <w:color w:val="auto"/>
                <w:kern w:val="0"/>
                <w:szCs w:val="21"/>
                <w:highlight w:val="none"/>
              </w:rPr>
            </w:pPr>
            <w:r>
              <w:rPr>
                <w:rFonts w:hint="eastAsia" w:ascii="宋体" w:hAnsi="宋体"/>
                <w:color w:val="auto"/>
                <w:kern w:val="0"/>
                <w:szCs w:val="21"/>
                <w:highlight w:val="none"/>
              </w:rPr>
              <w:t>低价风险担保</w:t>
            </w:r>
          </w:p>
          <w:p>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kern w:val="0"/>
                <w:sz w:val="21"/>
                <w:szCs w:val="21"/>
              </w:rPr>
            </w:pPr>
          </w:p>
        </w:tc>
        <w:tc>
          <w:tcPr>
            <w:tcW w:w="7189" w:type="dxa"/>
            <w:noWrap w:val="0"/>
            <w:vAlign w:val="center"/>
          </w:tcPr>
          <w:p>
            <w:pPr>
              <w:keepNext w:val="0"/>
              <w:keepLines w:val="0"/>
              <w:pageBreakBefore w:val="0"/>
              <w:kinsoku/>
              <w:wordWrap/>
              <w:overflowPunct/>
              <w:topLinePunct w:val="0"/>
              <w:autoSpaceDE w:val="0"/>
              <w:autoSpaceDN w:val="0"/>
              <w:bidi w:val="0"/>
              <w:adjustRightInd w:val="0"/>
              <w:snapToGrid w:val="0"/>
              <w:spacing w:line="400" w:lineRule="exact"/>
              <w:ind w:left="0" w:right="0" w:firstLine="420" w:firstLineChars="200"/>
              <w:textAlignment w:val="auto"/>
              <w:rPr>
                <w:rFonts w:ascii="宋体" w:hAnsi="宋体"/>
                <w:spacing w:val="0"/>
                <w:kern w:val="0"/>
                <w:sz w:val="21"/>
                <w:szCs w:val="21"/>
                <w:highlight w:val="none"/>
              </w:rPr>
            </w:pPr>
            <w:r>
              <w:rPr>
                <w:rFonts w:hint="eastAsia" w:ascii="宋体" w:hAnsi="宋体"/>
                <w:spacing w:val="0"/>
                <w:kern w:val="0"/>
                <w:sz w:val="21"/>
                <w:szCs w:val="21"/>
                <w:highlight w:val="none"/>
              </w:rPr>
              <w:t>1、低价风险担保：中标价低于最高限价的85%时提供，如不按时足额提供，视为中标人放弃中标，招标人有权不退还其投标保证金，</w:t>
            </w:r>
            <w:r>
              <w:rPr>
                <w:rFonts w:hint="eastAsia"/>
                <w:spacing w:val="0"/>
                <w:sz w:val="21"/>
                <w:highlight w:val="none"/>
              </w:rPr>
              <w:t>并报招标投标行政监督部门按照信用管理办法的规定处理，对中标人的不良行为直接记12分，纳入重点关注名单</w:t>
            </w:r>
            <w:r>
              <w:rPr>
                <w:rFonts w:hint="eastAsia" w:ascii="宋体" w:hAnsi="宋体"/>
                <w:spacing w:val="0"/>
                <w:kern w:val="0"/>
                <w:sz w:val="21"/>
                <w:szCs w:val="21"/>
                <w:highlight w:val="none"/>
              </w:rPr>
              <w:t>。</w:t>
            </w:r>
          </w:p>
          <w:p>
            <w:pPr>
              <w:keepNext w:val="0"/>
              <w:keepLines w:val="0"/>
              <w:pageBreakBefore w:val="0"/>
              <w:kinsoku/>
              <w:wordWrap/>
              <w:overflowPunct/>
              <w:topLinePunct w:val="0"/>
              <w:autoSpaceDE w:val="0"/>
              <w:autoSpaceDN w:val="0"/>
              <w:bidi w:val="0"/>
              <w:adjustRightInd w:val="0"/>
              <w:snapToGrid w:val="0"/>
              <w:spacing w:line="400" w:lineRule="exact"/>
              <w:ind w:left="0" w:right="0" w:firstLine="420" w:firstLineChars="200"/>
              <w:textAlignment w:val="auto"/>
              <w:rPr>
                <w:rFonts w:hint="eastAsia" w:ascii="宋体" w:hAnsi="宋体" w:eastAsia="宋体" w:cs="宋体"/>
                <w:spacing w:val="0"/>
                <w:sz w:val="21"/>
                <w:szCs w:val="21"/>
                <w:highlight w:val="none"/>
              </w:rPr>
            </w:pPr>
            <w:r>
              <w:rPr>
                <w:rFonts w:hint="eastAsia" w:ascii="宋体" w:hAnsi="宋体"/>
                <w:spacing w:val="0"/>
                <w:kern w:val="0"/>
                <w:sz w:val="21"/>
                <w:szCs w:val="21"/>
                <w:highlight w:val="none"/>
              </w:rPr>
              <w:t>2、中标人提供低价风</w:t>
            </w:r>
            <w:r>
              <w:rPr>
                <w:rFonts w:hint="eastAsia" w:ascii="宋体" w:hAnsi="宋体" w:eastAsia="宋体" w:cs="宋体"/>
                <w:spacing w:val="0"/>
                <w:sz w:val="21"/>
                <w:szCs w:val="21"/>
                <w:highlight w:val="none"/>
              </w:rPr>
              <w:t>险担保的形式、金额及期限：</w:t>
            </w:r>
          </w:p>
          <w:p>
            <w:pPr>
              <w:keepNext w:val="0"/>
              <w:keepLines w:val="0"/>
              <w:pageBreakBefore w:val="0"/>
              <w:kinsoku/>
              <w:wordWrap/>
              <w:overflowPunct/>
              <w:topLinePunct w:val="0"/>
              <w:autoSpaceDE w:val="0"/>
              <w:autoSpaceDN w:val="0"/>
              <w:bidi w:val="0"/>
              <w:adjustRightInd w:val="0"/>
              <w:snapToGrid w:val="0"/>
              <w:spacing w:line="400" w:lineRule="exact"/>
              <w:ind w:left="0" w:right="0" w:firstLine="420" w:firstLineChars="200"/>
              <w:textAlignment w:val="auto"/>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（1）低价风险担保的形式：</w:t>
            </w:r>
            <w:r>
              <w:rPr>
                <w:rFonts w:hint="default" w:ascii="宋体" w:hAnsi="宋体" w:eastAsia="宋体" w:cs="宋体"/>
                <w:spacing w:val="0"/>
                <w:sz w:val="21"/>
                <w:szCs w:val="21"/>
                <w:highlight w:val="none"/>
                <w:lang w:val="en-US" w:eastAsia="zh-CN"/>
              </w:rPr>
              <w:t>100万元以内为现金，超过部分为现金或不可撤销的见索即付银行保函</w:t>
            </w:r>
            <w:r>
              <w:rPr>
                <w:rFonts w:hint="eastAsia" w:ascii="宋体" w:hAnsi="宋体" w:eastAsia="宋体" w:cs="宋体"/>
                <w:spacing w:val="0"/>
                <w:sz w:val="21"/>
                <w:szCs w:val="21"/>
                <w:highlight w:val="none"/>
              </w:rPr>
              <w:t>，保函格式详见第四章合同条款及格式附件，中标人出具保函时，不得修改“低价风险担保保函”名称，也不得对低价风险担保保函示范文本中付款条件等实质性内容进行修改，否则视为不符合招标文件规定。</w:t>
            </w:r>
          </w:p>
          <w:p>
            <w:pPr>
              <w:keepNext w:val="0"/>
              <w:keepLines w:val="0"/>
              <w:pageBreakBefore w:val="0"/>
              <w:kinsoku/>
              <w:wordWrap/>
              <w:overflowPunct/>
              <w:topLinePunct w:val="0"/>
              <w:autoSpaceDE w:val="0"/>
              <w:autoSpaceDN w:val="0"/>
              <w:bidi w:val="0"/>
              <w:adjustRightInd w:val="0"/>
              <w:snapToGrid w:val="0"/>
              <w:spacing w:line="400" w:lineRule="exact"/>
              <w:ind w:left="0" w:right="0" w:firstLine="420" w:firstLineChars="200"/>
              <w:textAlignment w:val="auto"/>
              <w:rPr>
                <w:rFonts w:hint="eastAsia" w:ascii="宋体" w:hAnsi="宋体" w:eastAsia="宋体" w:cs="宋体"/>
                <w:spacing w:val="0"/>
                <w:sz w:val="21"/>
                <w:highlight w:val="none"/>
              </w:rPr>
            </w:pPr>
            <w:r>
              <w:rPr>
                <w:rFonts w:hint="eastAsia" w:ascii="宋体" w:hAnsi="宋体" w:eastAsia="宋体" w:cs="宋体"/>
                <w:spacing w:val="0"/>
                <w:kern w:val="0"/>
                <w:sz w:val="21"/>
                <w:szCs w:val="21"/>
                <w:highlight w:val="none"/>
              </w:rPr>
              <w:t>（2）低价风险担保的金额：</w:t>
            </w:r>
            <w:r>
              <w:rPr>
                <w:rFonts w:hint="eastAsia" w:ascii="宋体" w:hAnsi="宋体" w:eastAsia="宋体" w:cs="宋体"/>
                <w:color w:val="auto"/>
                <w:spacing w:val="0"/>
                <w:kern w:val="0"/>
                <w:sz w:val="21"/>
                <w:szCs w:val="21"/>
                <w:highlight w:val="none"/>
              </w:rPr>
              <w:t>（最高限价×85%</w:t>
            </w:r>
            <w:r>
              <w:rPr>
                <w:rFonts w:hint="eastAsia" w:ascii="宋体" w:hAnsi="宋体" w:cs="宋体"/>
                <w:color w:val="auto"/>
                <w:spacing w:val="0"/>
                <w:kern w:val="0"/>
                <w:sz w:val="21"/>
                <w:szCs w:val="21"/>
                <w:highlight w:val="none"/>
                <w:lang w:eastAsia="zh-CN"/>
              </w:rPr>
              <w:t>－</w:t>
            </w:r>
            <w:r>
              <w:rPr>
                <w:rFonts w:hint="eastAsia" w:ascii="宋体" w:hAnsi="宋体" w:eastAsia="宋体" w:cs="宋体"/>
                <w:color w:val="auto"/>
                <w:spacing w:val="0"/>
                <w:kern w:val="0"/>
                <w:sz w:val="21"/>
                <w:szCs w:val="21"/>
                <w:highlight w:val="none"/>
              </w:rPr>
              <w:t>中标价）×</w:t>
            </w:r>
            <w:r>
              <w:rPr>
                <w:rFonts w:hint="eastAsia" w:ascii="宋体" w:hAnsi="宋体" w:cs="宋体"/>
                <w:color w:val="auto"/>
                <w:spacing w:val="0"/>
                <w:kern w:val="0"/>
                <w:sz w:val="21"/>
                <w:szCs w:val="21"/>
                <w:highlight w:val="none"/>
                <w:lang w:val="en-US" w:eastAsia="zh-CN"/>
              </w:rPr>
              <w:t>3</w:t>
            </w:r>
            <w:r>
              <w:rPr>
                <w:rStyle w:val="60"/>
                <w:rFonts w:hint="eastAsia" w:ascii="宋体" w:hAnsi="宋体" w:eastAsia="宋体" w:cs="宋体"/>
                <w:color w:val="auto"/>
                <w:spacing w:val="0"/>
                <w:sz w:val="21"/>
                <w:highlight w:val="none"/>
              </w:rPr>
              <w:t>，且</w:t>
            </w:r>
            <w:r>
              <w:rPr>
                <w:rStyle w:val="60"/>
                <w:rFonts w:hint="eastAsia" w:ascii="宋体" w:hAnsi="宋体" w:eastAsia="宋体" w:cs="宋体"/>
                <w:spacing w:val="0"/>
                <w:sz w:val="21"/>
                <w:highlight w:val="none"/>
              </w:rPr>
              <w:t>最高不超过最高限价的85%，</w:t>
            </w:r>
            <w:r>
              <w:rPr>
                <w:rFonts w:hint="eastAsia" w:ascii="宋体" w:hAnsi="宋体" w:eastAsia="宋体" w:cs="宋体"/>
                <w:spacing w:val="0"/>
                <w:sz w:val="21"/>
                <w:highlight w:val="none"/>
              </w:rPr>
              <w:t>红名单中的中标人低价风险担保金额为应提交金额的</w:t>
            </w:r>
            <w:r>
              <w:rPr>
                <w:rFonts w:hint="eastAsia" w:ascii="宋体" w:hAnsi="宋体" w:eastAsia="宋体" w:cs="宋体"/>
                <w:spacing w:val="0"/>
                <w:sz w:val="21"/>
                <w:highlight w:val="none"/>
                <w:u w:val="single"/>
              </w:rPr>
              <w:t>50%</w:t>
            </w:r>
            <w:r>
              <w:rPr>
                <w:rFonts w:hint="eastAsia" w:ascii="宋体" w:hAnsi="宋体" w:eastAsia="宋体" w:cs="宋体"/>
                <w:spacing w:val="0"/>
                <w:sz w:val="21"/>
                <w:highlight w:val="none"/>
              </w:rPr>
              <w:t>。</w:t>
            </w:r>
          </w:p>
          <w:p>
            <w:pPr>
              <w:keepNext w:val="0"/>
              <w:keepLines w:val="0"/>
              <w:pageBreakBefore w:val="0"/>
              <w:kinsoku/>
              <w:wordWrap/>
              <w:overflowPunct/>
              <w:topLinePunct w:val="0"/>
              <w:autoSpaceDE w:val="0"/>
              <w:autoSpaceDN w:val="0"/>
              <w:bidi w:val="0"/>
              <w:adjustRightInd w:val="0"/>
              <w:snapToGrid w:val="0"/>
              <w:spacing w:line="400" w:lineRule="exact"/>
              <w:ind w:left="0" w:right="0" w:firstLine="420" w:firstLineChars="200"/>
              <w:textAlignment w:val="auto"/>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（3）低价风险担保送达招标人的时间：</w:t>
            </w:r>
            <w:r>
              <w:rPr>
                <w:rFonts w:hint="eastAsia" w:ascii="宋体" w:hAnsi="宋体" w:eastAsia="宋体" w:cs="宋体"/>
                <w:spacing w:val="0"/>
                <w:kern w:val="0"/>
                <w:sz w:val="21"/>
                <w:szCs w:val="21"/>
                <w:highlight w:val="none"/>
                <w:lang w:val="en-US" w:eastAsia="zh-CN"/>
              </w:rPr>
              <w:t>中标候选人公示结束后10个工作日内，中标人按担保金额向招标人提交低价风险担保；</w:t>
            </w:r>
          </w:p>
          <w:p>
            <w:pPr>
              <w:keepNext w:val="0"/>
              <w:keepLines w:val="0"/>
              <w:pageBreakBefore w:val="0"/>
              <w:widowControl/>
              <w:kinsoku/>
              <w:wordWrap/>
              <w:overflowPunct/>
              <w:topLinePunct w:val="0"/>
              <w:bidi w:val="0"/>
              <w:spacing w:line="400" w:lineRule="exact"/>
              <w:ind w:left="0" w:right="0" w:firstLine="420" w:firstLineChars="200"/>
              <w:textAlignment w:val="auto"/>
              <w:rPr>
                <w:rFonts w:hint="eastAsia" w:ascii="宋体" w:hAnsi="宋体" w:eastAsia="宋体" w:cs="宋体"/>
                <w:spacing w:val="0"/>
                <w:sz w:val="21"/>
                <w:highlight w:val="none"/>
              </w:rPr>
            </w:pPr>
            <w:r>
              <w:rPr>
                <w:rFonts w:hint="eastAsia" w:ascii="宋体" w:hAnsi="宋体" w:eastAsia="宋体" w:cs="宋体"/>
                <w:spacing w:val="0"/>
                <w:kern w:val="0"/>
                <w:sz w:val="21"/>
                <w:szCs w:val="21"/>
                <w:highlight w:val="none"/>
              </w:rPr>
              <w:t>（4）中标人</w:t>
            </w:r>
            <w:r>
              <w:rPr>
                <w:rFonts w:hint="eastAsia" w:ascii="宋体" w:hAnsi="宋体" w:eastAsia="宋体" w:cs="宋体"/>
                <w:spacing w:val="0"/>
                <w:sz w:val="21"/>
                <w:highlight w:val="none"/>
              </w:rPr>
              <w:t>因自身原因未按中标通知书规定的时限与招标人签订合同的，招标人有权扣除其低价风险担保并取消中标资格。</w:t>
            </w:r>
          </w:p>
          <w:p>
            <w:pPr>
              <w:keepNext w:val="0"/>
              <w:keepLines w:val="0"/>
              <w:pageBreakBefore w:val="0"/>
              <w:widowControl/>
              <w:kinsoku/>
              <w:wordWrap/>
              <w:overflowPunct/>
              <w:topLinePunct w:val="0"/>
              <w:bidi w:val="0"/>
              <w:spacing w:line="400" w:lineRule="exact"/>
              <w:ind w:left="0" w:right="0" w:firstLine="420" w:firstLineChars="200"/>
              <w:textAlignment w:val="auto"/>
              <w:rPr>
                <w:rFonts w:hint="eastAsia" w:ascii="宋体" w:hAnsi="宋体" w:eastAsia="宋体" w:cs="宋体"/>
                <w:spacing w:val="0"/>
                <w:sz w:val="21"/>
                <w:highlight w:val="none"/>
              </w:rPr>
            </w:pPr>
            <w:r>
              <w:rPr>
                <w:rFonts w:hint="eastAsia" w:ascii="宋体" w:hAnsi="宋体" w:eastAsia="宋体" w:cs="宋体"/>
                <w:spacing w:val="0"/>
                <w:sz w:val="21"/>
                <w:highlight w:val="none"/>
              </w:rPr>
              <w:t>（5）低价风险担保的期限：</w:t>
            </w:r>
            <w:r>
              <w:rPr>
                <w:rFonts w:hint="default" w:ascii="宋体" w:hAnsi="宋体" w:eastAsia="宋体" w:cs="宋体"/>
                <w:spacing w:val="0"/>
                <w:sz w:val="21"/>
                <w:highlight w:val="none"/>
                <w:lang w:val="en-US" w:eastAsia="zh-CN"/>
              </w:rPr>
              <w:t>自提交低价风险担保之日起至预验收之日止。</w:t>
            </w:r>
          </w:p>
          <w:p>
            <w:pPr>
              <w:keepNext w:val="0"/>
              <w:keepLines w:val="0"/>
              <w:pageBreakBefore w:val="0"/>
              <w:widowControl/>
              <w:kinsoku/>
              <w:wordWrap/>
              <w:overflowPunct/>
              <w:topLinePunct w:val="0"/>
              <w:bidi w:val="0"/>
              <w:spacing w:line="400" w:lineRule="exact"/>
              <w:ind w:left="0" w:right="0" w:firstLine="420" w:firstLineChars="200"/>
              <w:textAlignment w:val="auto"/>
              <w:rPr>
                <w:rFonts w:hint="eastAsia" w:ascii="宋体" w:hAnsi="宋体" w:eastAsia="宋体" w:cs="宋体"/>
                <w:spacing w:val="0"/>
                <w:sz w:val="21"/>
                <w:highlight w:val="none"/>
              </w:rPr>
            </w:pPr>
            <w:r>
              <w:rPr>
                <w:rFonts w:hint="eastAsia" w:ascii="宋体" w:hAnsi="宋体" w:eastAsia="宋体" w:cs="宋体"/>
                <w:spacing w:val="0"/>
                <w:sz w:val="21"/>
                <w:highlight w:val="none"/>
              </w:rPr>
              <w:t>3、低价风险担保的退还时间：</w:t>
            </w:r>
            <w:r>
              <w:rPr>
                <w:rFonts w:hint="default" w:ascii="宋体" w:hAnsi="宋体" w:eastAsia="宋体" w:cs="宋体"/>
                <w:spacing w:val="0"/>
                <w:sz w:val="21"/>
                <w:highlight w:val="none"/>
                <w:lang w:val="en-US" w:eastAsia="zh-CN"/>
              </w:rPr>
              <w:t>采用现金担保的，工程预验收后14天内无息退还；采用银行保函的，预验收后14天内退还。</w:t>
            </w:r>
          </w:p>
          <w:p>
            <w:pPr>
              <w:keepNext w:val="0"/>
              <w:keepLines w:val="0"/>
              <w:pageBreakBefore w:val="0"/>
              <w:widowControl/>
              <w:kinsoku/>
              <w:wordWrap/>
              <w:overflowPunct/>
              <w:topLinePunct w:val="0"/>
              <w:bidi w:val="0"/>
              <w:spacing w:line="400" w:lineRule="exact"/>
              <w:ind w:left="0" w:right="0" w:firstLine="420" w:firstLineChars="200"/>
              <w:textAlignment w:val="auto"/>
              <w:rPr>
                <w:rFonts w:hint="eastAsia" w:ascii="宋体" w:hAnsi="宋体" w:eastAsia="宋体" w:cs="宋体"/>
                <w:spacing w:val="0"/>
                <w:sz w:val="21"/>
                <w:highlight w:val="none"/>
              </w:rPr>
            </w:pPr>
            <w:r>
              <w:rPr>
                <w:rFonts w:hint="eastAsia" w:ascii="宋体" w:hAnsi="宋体" w:eastAsia="宋体" w:cs="宋体"/>
                <w:spacing w:val="0"/>
                <w:sz w:val="21"/>
                <w:highlight w:val="none"/>
              </w:rPr>
              <w:t>4、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pPr>
              <w:keepNext w:val="0"/>
              <w:keepLines w:val="0"/>
              <w:pageBreakBefore w:val="0"/>
              <w:kinsoku/>
              <w:wordWrap/>
              <w:overflowPunct/>
              <w:topLinePunct w:val="0"/>
              <w:bidi w:val="0"/>
              <w:spacing w:line="400" w:lineRule="exact"/>
              <w:ind w:left="0" w:right="0"/>
              <w:textAlignment w:val="auto"/>
              <w:rPr>
                <w:rFonts w:hint="eastAsia" w:ascii="宋体" w:hAnsi="宋体" w:eastAsia="宋体" w:cs="宋体"/>
                <w:spacing w:val="0"/>
                <w:sz w:val="21"/>
                <w:highlight w:val="none"/>
              </w:rPr>
            </w:pPr>
            <w:r>
              <w:rPr>
                <w:rFonts w:hint="eastAsia" w:ascii="宋体" w:hAnsi="宋体" w:eastAsia="宋体" w:cs="宋体"/>
                <w:spacing w:val="0"/>
                <w:sz w:val="21"/>
                <w:highlight w:val="none"/>
              </w:rPr>
              <w:t>备注：当中标人或拟中标人未按时提交低价风险担保，且属于可以延长低价风险担保提交期限的特殊情形时，经招标人同意，可适当延长低价风险担保的提交期限。</w:t>
            </w:r>
          </w:p>
          <w:p>
            <w:pPr>
              <w:pStyle w:val="3"/>
              <w:keepNext w:val="0"/>
              <w:keepLines w:val="0"/>
              <w:pageBreakBefore w:val="0"/>
              <w:widowControl/>
              <w:kinsoku/>
              <w:wordWrap/>
              <w:overflowPunct/>
              <w:topLinePunct w:val="0"/>
              <w:bidi w:val="0"/>
              <w:spacing w:after="0" w:line="400" w:lineRule="exact"/>
              <w:ind w:left="0" w:leftChars="0" w:right="0" w:rightChars="0" w:firstLine="420" w:firstLineChars="200"/>
              <w:textAlignment w:val="auto"/>
              <w:rPr>
                <w:rFonts w:hint="eastAsia" w:ascii="宋体" w:hAnsi="宋体" w:eastAsia="宋体" w:cs="宋体"/>
                <w:color w:val="auto"/>
                <w:sz w:val="21"/>
                <w:szCs w:val="21"/>
                <w:highlight w:val="yellow"/>
                <w:lang w:val="en-US" w:eastAsia="zh-CN"/>
              </w:rPr>
            </w:pPr>
            <w:r>
              <w:rPr>
                <w:rFonts w:hint="eastAsia" w:ascii="宋体" w:hAnsi="宋体" w:eastAsia="宋体" w:cs="宋体"/>
                <w:spacing w:val="0"/>
                <w:sz w:val="21"/>
                <w:highlight w:val="none"/>
              </w:rPr>
              <w:t>5、投标总报价低于最高限价85%的，投标人应在编制投标文件时，在投标函部分中递交低价风险担保提交承诺书。承诺书格式详见第八章投标文件格式。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10.</w:t>
            </w:r>
            <w:r>
              <w:rPr>
                <w:rFonts w:hint="eastAsia" w:ascii="宋体" w:hAnsi="宋体" w:cs="宋体"/>
                <w:color w:val="auto"/>
                <w:kern w:val="0"/>
                <w:sz w:val="21"/>
                <w:szCs w:val="21"/>
                <w:lang w:val="en-US" w:eastAsia="zh-CN"/>
              </w:rPr>
              <w:t>3</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工程款支付</w:t>
            </w:r>
          </w:p>
        </w:tc>
        <w:tc>
          <w:tcPr>
            <w:tcW w:w="7189" w:type="dxa"/>
            <w:noWrap w:val="0"/>
            <w:vAlign w:val="center"/>
          </w:tcPr>
          <w:p>
            <w:pPr>
              <w:keepNext w:val="0"/>
              <w:keepLines w:val="0"/>
              <w:pageBreakBefore w:val="0"/>
              <w:widowControl/>
              <w:kinsoku/>
              <w:wordWrap/>
              <w:overflowPunct/>
              <w:topLinePunct w:val="0"/>
              <w:bidi w:val="0"/>
              <w:spacing w:line="400" w:lineRule="exact"/>
              <w:ind w:left="0" w:right="0" w:firstLine="420" w:firstLineChars="200"/>
              <w:textAlignment w:val="auto"/>
              <w:rPr>
                <w:rFonts w:hint="eastAsia" w:ascii="宋体" w:hAnsi="宋体" w:eastAsia="宋体" w:cs="宋体"/>
                <w:color w:val="auto"/>
                <w:sz w:val="21"/>
                <w:szCs w:val="21"/>
                <w:lang w:val="en-US" w:eastAsia="zh-CN"/>
              </w:rPr>
            </w:pPr>
            <w:r>
              <w:rPr>
                <w:rFonts w:hint="eastAsia" w:ascii="宋体" w:hAnsi="宋体" w:cs="宋体"/>
                <w:spacing w:val="0"/>
                <w:sz w:val="21"/>
                <w:highlight w:val="none"/>
                <w:lang w:val="en-US" w:eastAsia="zh-CN"/>
              </w:rPr>
              <w:t>预验收合格后30日历天内付至合同价款的50%；竣工验收合格（并完成送审）后180日历天内付至合同价款的70%，结算审核完成后一年内付至审定金额的97%，（其中结算审核总价款的3％留作质保金）。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10.</w:t>
            </w:r>
            <w:r>
              <w:rPr>
                <w:rFonts w:hint="eastAsia" w:ascii="宋体" w:hAnsi="宋体" w:cs="宋体"/>
                <w:color w:val="auto"/>
                <w:kern w:val="0"/>
                <w:sz w:val="21"/>
                <w:szCs w:val="21"/>
                <w:lang w:val="en-US" w:eastAsia="zh-CN"/>
              </w:rPr>
              <w:t>4</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比选代理</w:t>
            </w: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服务费</w:t>
            </w:r>
          </w:p>
        </w:tc>
        <w:tc>
          <w:tcPr>
            <w:tcW w:w="7189" w:type="dxa"/>
            <w:noWrap w:val="0"/>
            <w:vAlign w:val="center"/>
          </w:tcPr>
          <w:p>
            <w:pPr>
              <w:keepNext w:val="0"/>
              <w:keepLines w:val="0"/>
              <w:pageBreakBefore w:val="0"/>
              <w:kinsoku/>
              <w:wordWrap/>
              <w:overflowPunct/>
              <w:topLinePunct w:val="0"/>
              <w:autoSpaceDE/>
              <w:autoSpaceDN/>
              <w:bidi w:val="0"/>
              <w:adjustRightInd/>
              <w:snapToGrid w:val="0"/>
              <w:spacing w:line="460" w:lineRule="exact"/>
              <w:ind w:firstLine="105" w:firstLineChars="50"/>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1</w:t>
            </w:r>
            <w:r>
              <w:rPr>
                <w:rFonts w:hint="eastAsia" w:ascii="宋体" w:hAnsi="宋体" w:eastAsia="宋体" w:cs="宋体"/>
                <w:color w:val="auto"/>
                <w:kern w:val="0"/>
                <w:sz w:val="21"/>
                <w:szCs w:val="21"/>
              </w:rPr>
              <w:t>.本项目招标代理服务费由中标人支付。</w:t>
            </w:r>
          </w:p>
          <w:p>
            <w:pPr>
              <w:keepNext w:val="0"/>
              <w:keepLines w:val="0"/>
              <w:pageBreakBefore w:val="0"/>
              <w:kinsoku/>
              <w:wordWrap/>
              <w:overflowPunct/>
              <w:topLinePunct w:val="0"/>
              <w:autoSpaceDE/>
              <w:autoSpaceDN/>
              <w:bidi w:val="0"/>
              <w:adjustRightInd/>
              <w:snapToGrid w:val="0"/>
              <w:spacing w:line="460" w:lineRule="exact"/>
              <w:ind w:firstLine="105" w:firstLineChars="5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2.比选代理服务费金额：</w:t>
            </w:r>
            <w:r>
              <w:rPr>
                <w:rFonts w:hint="eastAsia" w:ascii="宋体" w:hAnsi="宋体" w:cs="宋体"/>
                <w:b/>
                <w:bCs/>
                <w:color w:val="auto"/>
                <w:kern w:val="0"/>
                <w:sz w:val="21"/>
                <w:szCs w:val="21"/>
                <w:lang w:val="en-US" w:eastAsia="zh-CN"/>
              </w:rPr>
              <w:t>6</w:t>
            </w:r>
            <w:r>
              <w:rPr>
                <w:rFonts w:hint="eastAsia" w:ascii="宋体" w:hAnsi="宋体" w:eastAsia="宋体" w:cs="宋体"/>
                <w:b/>
                <w:bCs/>
                <w:color w:val="auto"/>
                <w:kern w:val="0"/>
                <w:sz w:val="21"/>
                <w:szCs w:val="21"/>
                <w:lang w:val="en-US" w:eastAsia="zh-CN"/>
              </w:rPr>
              <w:t>000</w:t>
            </w:r>
            <w:r>
              <w:rPr>
                <w:rFonts w:hint="eastAsia" w:ascii="宋体" w:hAnsi="宋体" w:eastAsia="宋体" w:cs="宋体"/>
                <w:b/>
                <w:color w:val="auto"/>
                <w:kern w:val="0"/>
                <w:sz w:val="21"/>
                <w:szCs w:val="21"/>
              </w:rPr>
              <w:t>元（大写：</w:t>
            </w:r>
            <w:r>
              <w:rPr>
                <w:rFonts w:hint="eastAsia" w:ascii="宋体" w:hAnsi="宋体" w:cs="宋体"/>
                <w:b/>
                <w:color w:val="auto"/>
                <w:kern w:val="0"/>
                <w:sz w:val="21"/>
                <w:szCs w:val="21"/>
                <w:lang w:val="en-US" w:eastAsia="zh-CN"/>
              </w:rPr>
              <w:t>陆</w:t>
            </w:r>
            <w:r>
              <w:rPr>
                <w:rFonts w:hint="eastAsia" w:ascii="宋体" w:hAnsi="宋体" w:eastAsia="宋体" w:cs="宋体"/>
                <w:b/>
                <w:color w:val="auto"/>
                <w:kern w:val="0"/>
                <w:sz w:val="21"/>
                <w:szCs w:val="21"/>
                <w:lang w:val="en-US" w:eastAsia="zh-CN"/>
              </w:rPr>
              <w:t>仟元</w:t>
            </w:r>
            <w:r>
              <w:rPr>
                <w:rFonts w:hint="eastAsia" w:ascii="宋体" w:hAnsi="宋体" w:eastAsia="宋体" w:cs="宋体"/>
                <w:b/>
                <w:color w:val="auto"/>
                <w:kern w:val="0"/>
                <w:sz w:val="21"/>
                <w:szCs w:val="21"/>
              </w:rPr>
              <w:t>整）。</w:t>
            </w:r>
          </w:p>
          <w:p>
            <w:pPr>
              <w:keepNext w:val="0"/>
              <w:keepLines w:val="0"/>
              <w:pageBreakBefore w:val="0"/>
              <w:kinsoku/>
              <w:wordWrap/>
              <w:overflowPunct/>
              <w:topLinePunct w:val="0"/>
              <w:autoSpaceDE/>
              <w:autoSpaceDN/>
              <w:bidi w:val="0"/>
              <w:adjustRightInd/>
              <w:snapToGrid w:val="0"/>
              <w:spacing w:line="460" w:lineRule="exact"/>
              <w:ind w:firstLine="105" w:firstLineChars="5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3.支付时间：在中标通知书发出前由中标人一次性支付比选代理机构。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10.</w:t>
            </w:r>
            <w:r>
              <w:rPr>
                <w:rFonts w:hint="eastAsia" w:ascii="宋体" w:hAnsi="宋体" w:cs="宋体"/>
                <w:color w:val="auto"/>
                <w:kern w:val="0"/>
                <w:sz w:val="21"/>
                <w:szCs w:val="21"/>
                <w:lang w:val="en-US" w:eastAsia="zh-CN"/>
              </w:rPr>
              <w:t>5</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其他</w:t>
            </w:r>
          </w:p>
        </w:tc>
        <w:tc>
          <w:tcPr>
            <w:tcW w:w="7189" w:type="dxa"/>
            <w:noWrap w:val="0"/>
            <w:vAlign w:val="center"/>
          </w:tcPr>
          <w:p>
            <w:pPr>
              <w:keepNext w:val="0"/>
              <w:keepLines w:val="0"/>
              <w:pageBreakBefore w:val="0"/>
              <w:kinsoku/>
              <w:wordWrap/>
              <w:overflowPunct/>
              <w:topLinePunct w:val="0"/>
              <w:autoSpaceDE/>
              <w:autoSpaceDN/>
              <w:bidi w:val="0"/>
              <w:adjustRightInd/>
              <w:snapToGrid w:val="0"/>
              <w:spacing w:line="460" w:lineRule="exact"/>
              <w:ind w:firstLine="105" w:firstLineChars="50"/>
              <w:textAlignment w:val="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1.审减率超过10%，</w:t>
            </w:r>
            <w:r>
              <w:rPr>
                <w:rFonts w:hint="eastAsia" w:ascii="宋体" w:hAnsi="宋体" w:eastAsia="宋体" w:cs="宋体"/>
                <w:color w:val="auto"/>
                <w:kern w:val="0"/>
                <w:sz w:val="21"/>
                <w:szCs w:val="21"/>
                <w:lang w:val="en-US" w:eastAsia="zh-CN"/>
              </w:rPr>
              <w:t>结算审核</w:t>
            </w:r>
            <w:r>
              <w:rPr>
                <w:rFonts w:hint="default" w:ascii="宋体" w:hAnsi="宋体" w:eastAsia="宋体" w:cs="宋体"/>
                <w:color w:val="auto"/>
                <w:kern w:val="0"/>
                <w:sz w:val="21"/>
                <w:szCs w:val="21"/>
                <w:lang w:val="en-US" w:eastAsia="zh-CN"/>
              </w:rPr>
              <w:t>费用由中标单位承担。</w:t>
            </w:r>
          </w:p>
          <w:p>
            <w:pPr>
              <w:keepNext w:val="0"/>
              <w:keepLines w:val="0"/>
              <w:pageBreakBefore w:val="0"/>
              <w:kinsoku/>
              <w:wordWrap/>
              <w:overflowPunct/>
              <w:topLinePunct w:val="0"/>
              <w:autoSpaceDE/>
              <w:autoSpaceDN/>
              <w:bidi w:val="0"/>
              <w:adjustRightInd/>
              <w:snapToGrid w:val="0"/>
              <w:spacing w:line="460" w:lineRule="exact"/>
              <w:ind w:firstLine="105" w:firstLineChars="50"/>
              <w:textAlignment w:val="auto"/>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val="en-US" w:eastAsia="zh-CN"/>
              </w:rPr>
              <w:t>竣工</w:t>
            </w:r>
            <w:r>
              <w:rPr>
                <w:rFonts w:hint="default" w:ascii="宋体" w:hAnsi="宋体" w:eastAsia="宋体" w:cs="宋体"/>
                <w:color w:val="auto"/>
                <w:kern w:val="0"/>
                <w:sz w:val="21"/>
                <w:szCs w:val="21"/>
                <w:lang w:val="en-US" w:eastAsia="zh-CN"/>
              </w:rPr>
              <w:t>验收合格后三个月内必须送审，否则</w:t>
            </w:r>
            <w:r>
              <w:rPr>
                <w:rFonts w:hint="eastAsia" w:ascii="宋体" w:hAnsi="宋体" w:eastAsia="宋体" w:cs="宋体"/>
                <w:color w:val="auto"/>
                <w:kern w:val="0"/>
                <w:sz w:val="21"/>
                <w:szCs w:val="21"/>
                <w:lang w:val="en-US" w:eastAsia="zh-CN"/>
              </w:rPr>
              <w:t>结算审核</w:t>
            </w:r>
            <w:r>
              <w:rPr>
                <w:rFonts w:hint="default" w:ascii="宋体" w:hAnsi="宋体" w:eastAsia="宋体" w:cs="宋体"/>
                <w:color w:val="auto"/>
                <w:kern w:val="0"/>
                <w:sz w:val="21"/>
                <w:szCs w:val="21"/>
                <w:lang w:val="en-US" w:eastAsia="zh-CN"/>
              </w:rPr>
              <w:t>费用由中</w:t>
            </w:r>
            <w:r>
              <w:rPr>
                <w:rFonts w:hint="eastAsia" w:ascii="宋体" w:hAnsi="宋体" w:eastAsia="宋体" w:cs="宋体"/>
                <w:color w:val="auto"/>
                <w:kern w:val="0"/>
                <w:sz w:val="21"/>
                <w:szCs w:val="21"/>
                <w:lang w:val="en-US" w:eastAsia="zh-CN"/>
              </w:rPr>
              <w:t>标</w:t>
            </w:r>
            <w:r>
              <w:rPr>
                <w:rFonts w:hint="default" w:ascii="宋体" w:hAnsi="宋体" w:eastAsia="宋体" w:cs="宋体"/>
                <w:color w:val="auto"/>
                <w:kern w:val="0"/>
                <w:sz w:val="21"/>
                <w:szCs w:val="21"/>
                <w:lang w:val="en-US" w:eastAsia="zh-CN"/>
              </w:rPr>
              <w:t>单位承担。</w:t>
            </w:r>
          </w:p>
        </w:tc>
      </w:tr>
    </w:tbl>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hint="eastAsia" w:ascii="宋体" w:hAnsi="宋体"/>
          <w:b/>
          <w:snapToGrid w:val="0"/>
          <w:color w:val="auto"/>
          <w:kern w:val="0"/>
          <w:szCs w:val="21"/>
          <w:lang w:eastAsia="zh-CN"/>
        </w:rPr>
      </w:pPr>
      <w:bookmarkStart w:id="36" w:name="_Toc909"/>
      <w:bookmarkStart w:id="37" w:name="_Toc287607746"/>
      <w:bookmarkStart w:id="38" w:name="_Toc386029647"/>
      <w:bookmarkStart w:id="39" w:name="_Toc452058682"/>
      <w:bookmarkStart w:id="40" w:name="_Toc200513126"/>
      <w:bookmarkStart w:id="41" w:name="_Toc224103317"/>
      <w:bookmarkStart w:id="42" w:name="_Toc13995"/>
      <w:bookmarkStart w:id="43" w:name="_Toc277082552"/>
      <w:r>
        <w:rPr>
          <w:rFonts w:hint="eastAsia" w:ascii="宋体" w:hAnsi="宋体"/>
          <w:b/>
          <w:snapToGrid w:val="0"/>
          <w:color w:val="auto"/>
          <w:kern w:val="0"/>
          <w:szCs w:val="21"/>
          <w:lang w:eastAsia="zh-CN"/>
        </w:rPr>
        <w:t>注：如投标人须知前附表与正文内容不一致时，以投标人须知前附表内容为准。</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r>
        <w:rPr>
          <w:rFonts w:ascii="宋体" w:hAnsi="宋体"/>
          <w:b/>
          <w:snapToGrid w:val="0"/>
          <w:color w:val="auto"/>
          <w:kern w:val="0"/>
        </w:rPr>
        <w:t xml:space="preserve">1.  </w:t>
      </w:r>
      <w:r>
        <w:rPr>
          <w:rFonts w:hint="eastAsia" w:ascii="宋体" w:hAnsi="宋体"/>
          <w:b/>
          <w:snapToGrid w:val="0"/>
          <w:color w:val="auto"/>
          <w:kern w:val="0"/>
        </w:rPr>
        <w:t>总则</w:t>
      </w:r>
      <w:bookmarkEnd w:id="36"/>
      <w:bookmarkEnd w:id="37"/>
      <w:bookmarkEnd w:id="38"/>
      <w:bookmarkEnd w:id="39"/>
      <w:bookmarkEnd w:id="40"/>
      <w:bookmarkEnd w:id="41"/>
      <w:bookmarkEnd w:id="42"/>
      <w:bookmarkEnd w:id="43"/>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44" w:name="_Toc287620686"/>
      <w:bookmarkStart w:id="45" w:name="_Toc26024"/>
      <w:bookmarkStart w:id="46" w:name="_Toc287607747"/>
      <w:bookmarkStart w:id="47" w:name="_Toc386029648"/>
      <w:bookmarkStart w:id="48" w:name="_Toc224103318"/>
      <w:bookmarkStart w:id="49" w:name="_Toc200513127"/>
      <w:bookmarkStart w:id="50" w:name="_Toc452058683"/>
      <w:bookmarkStart w:id="51" w:name="_Toc277082553"/>
      <w:r>
        <w:rPr>
          <w:rFonts w:ascii="宋体" w:hAnsi="宋体"/>
          <w:b/>
          <w:snapToGrid w:val="0"/>
          <w:color w:val="auto"/>
          <w:kern w:val="0"/>
        </w:rPr>
        <w:t xml:space="preserve">1.1  </w:t>
      </w:r>
      <w:r>
        <w:rPr>
          <w:rFonts w:hint="eastAsia" w:ascii="宋体" w:hAnsi="宋体"/>
          <w:b/>
          <w:snapToGrid w:val="0"/>
          <w:color w:val="auto"/>
          <w:kern w:val="0"/>
        </w:rPr>
        <w:t>项目概况</w:t>
      </w:r>
      <w:bookmarkEnd w:id="44"/>
      <w:bookmarkEnd w:id="45"/>
      <w:bookmarkEnd w:id="46"/>
      <w:bookmarkEnd w:id="47"/>
      <w:bookmarkEnd w:id="48"/>
      <w:bookmarkEnd w:id="49"/>
      <w:bookmarkEnd w:id="50"/>
      <w:bookmarkEnd w:id="51"/>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357" w:firstLineChars="170"/>
        <w:jc w:val="left"/>
        <w:textAlignment w:val="auto"/>
        <w:outlineLvl w:val="9"/>
        <w:rPr>
          <w:rFonts w:ascii="宋体" w:hAnsi="宋体"/>
          <w:snapToGrid w:val="0"/>
          <w:color w:val="auto"/>
          <w:kern w:val="0"/>
          <w:szCs w:val="21"/>
        </w:rPr>
      </w:pPr>
      <w:r>
        <w:rPr>
          <w:rFonts w:ascii="宋体" w:hAnsi="宋体"/>
          <w:snapToGrid w:val="0"/>
          <w:color w:val="auto"/>
          <w:kern w:val="0"/>
          <w:szCs w:val="21"/>
        </w:rPr>
        <w:t xml:space="preserve">1.1.1  </w:t>
      </w:r>
      <w:r>
        <w:rPr>
          <w:rFonts w:hint="eastAsia" w:ascii="宋体" w:hAnsi="宋体"/>
          <w:snapToGrid w:val="0"/>
          <w:color w:val="auto"/>
          <w:kern w:val="0"/>
          <w:szCs w:val="21"/>
        </w:rPr>
        <w:t>根据《中华人民共和国招标投标法》等有关法律、法规和规章的规定，本招标项目已具备招标条件，现对本标段施工进行竞争性比选。</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357" w:firstLineChars="170"/>
        <w:jc w:val="left"/>
        <w:textAlignment w:val="auto"/>
        <w:outlineLvl w:val="9"/>
        <w:rPr>
          <w:rFonts w:ascii="宋体" w:hAnsi="宋体"/>
          <w:snapToGrid w:val="0"/>
          <w:color w:val="auto"/>
          <w:kern w:val="0"/>
          <w:szCs w:val="21"/>
        </w:rPr>
      </w:pPr>
      <w:r>
        <w:rPr>
          <w:rFonts w:ascii="宋体" w:hAnsi="宋体"/>
          <w:snapToGrid w:val="0"/>
          <w:color w:val="auto"/>
          <w:kern w:val="0"/>
          <w:szCs w:val="21"/>
        </w:rPr>
        <w:t xml:space="preserve">1.1.2  </w:t>
      </w:r>
      <w:r>
        <w:rPr>
          <w:rFonts w:hint="eastAsia" w:ascii="宋体" w:hAnsi="宋体"/>
          <w:snapToGrid w:val="0"/>
          <w:color w:val="auto"/>
          <w:kern w:val="0"/>
          <w:szCs w:val="21"/>
        </w:rPr>
        <w:t>本招标项目比选人：见投标人须知前附表。</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ascii="宋体" w:hAnsi="宋体"/>
          <w:snapToGrid w:val="0"/>
          <w:color w:val="auto"/>
          <w:kern w:val="0"/>
          <w:szCs w:val="21"/>
        </w:rPr>
        <w:t xml:space="preserve">1.1.3  </w:t>
      </w:r>
      <w:r>
        <w:rPr>
          <w:rFonts w:hint="eastAsia" w:ascii="宋体" w:hAnsi="宋体" w:cs="MingLiU"/>
          <w:snapToGrid w:val="0"/>
          <w:color w:val="auto"/>
          <w:kern w:val="0"/>
          <w:szCs w:val="21"/>
        </w:rPr>
        <w:t>本标段</w:t>
      </w:r>
      <w:r>
        <w:rPr>
          <w:rFonts w:hint="eastAsia" w:ascii="宋体" w:hAnsi="宋体"/>
          <w:snapToGrid w:val="0"/>
          <w:color w:val="auto"/>
          <w:kern w:val="0"/>
          <w:szCs w:val="21"/>
        </w:rPr>
        <w:t>比选</w:t>
      </w:r>
      <w:r>
        <w:rPr>
          <w:rFonts w:hint="eastAsia" w:ascii="宋体" w:hAnsi="宋体" w:cs="MingLiU"/>
          <w:snapToGrid w:val="0"/>
          <w:color w:val="auto"/>
          <w:kern w:val="0"/>
          <w:szCs w:val="21"/>
        </w:rPr>
        <w:t>代理机构：见投标人须知前附表。</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ascii="宋体" w:hAnsi="宋体"/>
          <w:snapToGrid w:val="0"/>
          <w:color w:val="auto"/>
          <w:kern w:val="0"/>
          <w:szCs w:val="21"/>
        </w:rPr>
        <w:t xml:space="preserve">1.1.4  </w:t>
      </w:r>
      <w:r>
        <w:rPr>
          <w:rFonts w:hint="eastAsia" w:ascii="宋体" w:hAnsi="宋体" w:cs="MingLiU"/>
          <w:snapToGrid w:val="0"/>
          <w:color w:val="auto"/>
          <w:kern w:val="0"/>
          <w:szCs w:val="21"/>
        </w:rPr>
        <w:t>本</w:t>
      </w:r>
      <w:r>
        <w:rPr>
          <w:rFonts w:hint="eastAsia" w:ascii="宋体" w:hAnsi="宋体"/>
          <w:snapToGrid w:val="0"/>
          <w:color w:val="auto"/>
          <w:kern w:val="0"/>
          <w:szCs w:val="21"/>
        </w:rPr>
        <w:t>比选</w:t>
      </w:r>
      <w:r>
        <w:rPr>
          <w:rFonts w:hint="eastAsia" w:ascii="宋体" w:hAnsi="宋体" w:cs="MingLiU"/>
          <w:snapToGrid w:val="0"/>
          <w:color w:val="auto"/>
          <w:kern w:val="0"/>
          <w:szCs w:val="21"/>
        </w:rPr>
        <w:t>项目名称：见投标人须知前附表。</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ascii="宋体" w:hAnsi="宋体"/>
          <w:snapToGrid w:val="0"/>
          <w:color w:val="auto"/>
          <w:kern w:val="0"/>
          <w:szCs w:val="21"/>
        </w:rPr>
        <w:t xml:space="preserve">1.1.5  </w:t>
      </w:r>
      <w:r>
        <w:rPr>
          <w:rFonts w:hint="eastAsia" w:ascii="宋体" w:hAnsi="宋体" w:cs="MingLiU"/>
          <w:snapToGrid w:val="0"/>
          <w:color w:val="auto"/>
          <w:kern w:val="0"/>
          <w:szCs w:val="21"/>
        </w:rPr>
        <w:t>本标段建设地点：见投标人须知前附表。</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52" w:name="_Toc11476"/>
      <w:bookmarkStart w:id="53" w:name="_Toc287620687"/>
      <w:bookmarkStart w:id="54" w:name="_Toc287607748"/>
      <w:bookmarkStart w:id="55" w:name="_Toc224103319"/>
      <w:bookmarkStart w:id="56" w:name="_Toc200513128"/>
      <w:bookmarkStart w:id="57" w:name="_Toc277082554"/>
      <w:bookmarkStart w:id="58" w:name="_Toc452058684"/>
      <w:bookmarkStart w:id="59" w:name="_Toc386029649"/>
      <w:r>
        <w:rPr>
          <w:rFonts w:ascii="宋体" w:hAnsi="宋体"/>
          <w:b/>
          <w:snapToGrid w:val="0"/>
          <w:color w:val="auto"/>
          <w:kern w:val="0"/>
        </w:rPr>
        <w:t xml:space="preserve">1.2  </w:t>
      </w:r>
      <w:r>
        <w:rPr>
          <w:rFonts w:hint="eastAsia" w:ascii="宋体" w:hAnsi="宋体"/>
          <w:b/>
          <w:snapToGrid w:val="0"/>
          <w:color w:val="auto"/>
          <w:kern w:val="0"/>
        </w:rPr>
        <w:t>资金来源和落实情况</w:t>
      </w:r>
      <w:bookmarkEnd w:id="52"/>
      <w:bookmarkEnd w:id="53"/>
      <w:bookmarkEnd w:id="54"/>
      <w:bookmarkEnd w:id="55"/>
      <w:bookmarkEnd w:id="56"/>
      <w:bookmarkEnd w:id="57"/>
      <w:bookmarkEnd w:id="58"/>
      <w:bookmarkEnd w:id="59"/>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ascii="宋体" w:hAnsi="宋体"/>
          <w:snapToGrid w:val="0"/>
          <w:color w:val="auto"/>
          <w:kern w:val="0"/>
          <w:szCs w:val="21"/>
        </w:rPr>
        <w:t xml:space="preserve">1.2.1  </w:t>
      </w:r>
      <w:r>
        <w:rPr>
          <w:rFonts w:hint="eastAsia" w:ascii="宋体" w:hAnsi="宋体" w:cs="MingLiU"/>
          <w:snapToGrid w:val="0"/>
          <w:color w:val="auto"/>
          <w:kern w:val="0"/>
          <w:szCs w:val="21"/>
        </w:rPr>
        <w:t>本</w:t>
      </w:r>
      <w:r>
        <w:rPr>
          <w:rFonts w:hint="eastAsia" w:ascii="宋体" w:hAnsi="宋体"/>
          <w:snapToGrid w:val="0"/>
          <w:color w:val="auto"/>
          <w:kern w:val="0"/>
          <w:szCs w:val="21"/>
        </w:rPr>
        <w:t>比选</w:t>
      </w:r>
      <w:r>
        <w:rPr>
          <w:rFonts w:hint="eastAsia" w:ascii="宋体" w:hAnsi="宋体" w:cs="MingLiU"/>
          <w:snapToGrid w:val="0"/>
          <w:color w:val="auto"/>
          <w:kern w:val="0"/>
          <w:szCs w:val="21"/>
        </w:rPr>
        <w:t>项目的资金来源：见投标人须知前附表。</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ascii="宋体" w:hAnsi="宋体"/>
          <w:snapToGrid w:val="0"/>
          <w:color w:val="auto"/>
          <w:kern w:val="0"/>
          <w:szCs w:val="21"/>
        </w:rPr>
        <w:t xml:space="preserve">1.2.2  </w:t>
      </w:r>
      <w:r>
        <w:rPr>
          <w:rFonts w:hint="eastAsia" w:ascii="宋体" w:hAnsi="宋体" w:cs="MingLiU"/>
          <w:snapToGrid w:val="0"/>
          <w:color w:val="auto"/>
          <w:kern w:val="0"/>
          <w:szCs w:val="21"/>
        </w:rPr>
        <w:t>本</w:t>
      </w:r>
      <w:r>
        <w:rPr>
          <w:rFonts w:hint="eastAsia" w:ascii="宋体" w:hAnsi="宋体"/>
          <w:snapToGrid w:val="0"/>
          <w:color w:val="auto"/>
          <w:kern w:val="0"/>
          <w:szCs w:val="21"/>
        </w:rPr>
        <w:t>比选</w:t>
      </w:r>
      <w:r>
        <w:rPr>
          <w:rFonts w:hint="eastAsia" w:ascii="宋体" w:hAnsi="宋体" w:cs="MingLiU"/>
          <w:snapToGrid w:val="0"/>
          <w:color w:val="auto"/>
          <w:kern w:val="0"/>
          <w:szCs w:val="21"/>
        </w:rPr>
        <w:t>项目的出资比例：见投标人须知前附表。</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ascii="宋体" w:hAnsi="宋体"/>
          <w:snapToGrid w:val="0"/>
          <w:color w:val="auto"/>
          <w:kern w:val="0"/>
          <w:szCs w:val="21"/>
        </w:rPr>
        <w:t xml:space="preserve">1.2.3  </w:t>
      </w:r>
      <w:r>
        <w:rPr>
          <w:rFonts w:hint="eastAsia" w:ascii="宋体" w:hAnsi="宋体" w:cs="MingLiU"/>
          <w:snapToGrid w:val="0"/>
          <w:color w:val="auto"/>
          <w:kern w:val="0"/>
          <w:szCs w:val="21"/>
        </w:rPr>
        <w:t>本</w:t>
      </w:r>
      <w:r>
        <w:rPr>
          <w:rFonts w:hint="eastAsia" w:ascii="宋体" w:hAnsi="宋体"/>
          <w:snapToGrid w:val="0"/>
          <w:color w:val="auto"/>
          <w:kern w:val="0"/>
          <w:szCs w:val="21"/>
        </w:rPr>
        <w:t>比选</w:t>
      </w:r>
      <w:r>
        <w:rPr>
          <w:rFonts w:hint="eastAsia" w:ascii="宋体" w:hAnsi="宋体" w:cs="MingLiU"/>
          <w:snapToGrid w:val="0"/>
          <w:color w:val="auto"/>
          <w:kern w:val="0"/>
          <w:szCs w:val="21"/>
        </w:rPr>
        <w:t>项目的资金落实情况：见投标人须知前附表。</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60" w:name="_Toc200513129"/>
      <w:bookmarkStart w:id="61" w:name="_Toc287607749"/>
      <w:bookmarkStart w:id="62" w:name="_Toc22034"/>
      <w:bookmarkStart w:id="63" w:name="_Toc386029650"/>
      <w:bookmarkStart w:id="64" w:name="_Toc224103320"/>
      <w:bookmarkStart w:id="65" w:name="_Toc277082555"/>
      <w:bookmarkStart w:id="66" w:name="_Toc287620688"/>
      <w:bookmarkStart w:id="67" w:name="_Toc452058685"/>
      <w:r>
        <w:rPr>
          <w:rFonts w:ascii="宋体" w:hAnsi="宋体"/>
          <w:b/>
          <w:snapToGrid w:val="0"/>
          <w:color w:val="auto"/>
          <w:kern w:val="0"/>
        </w:rPr>
        <w:t xml:space="preserve">1.3  </w:t>
      </w:r>
      <w:r>
        <w:rPr>
          <w:rFonts w:hint="eastAsia" w:ascii="宋体" w:hAnsi="宋体"/>
          <w:b/>
          <w:snapToGrid w:val="0"/>
          <w:color w:val="auto"/>
          <w:kern w:val="0"/>
        </w:rPr>
        <w:t>比选范围、计划工期和质量要求</w:t>
      </w:r>
      <w:bookmarkEnd w:id="60"/>
      <w:bookmarkEnd w:id="61"/>
      <w:bookmarkEnd w:id="62"/>
      <w:bookmarkEnd w:id="63"/>
      <w:bookmarkEnd w:id="64"/>
      <w:bookmarkEnd w:id="65"/>
      <w:bookmarkEnd w:id="66"/>
      <w:bookmarkEnd w:id="67"/>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ascii="宋体" w:hAnsi="宋体"/>
          <w:snapToGrid w:val="0"/>
          <w:color w:val="auto"/>
          <w:kern w:val="0"/>
          <w:szCs w:val="21"/>
        </w:rPr>
        <w:t xml:space="preserve">1.3.1  </w:t>
      </w:r>
      <w:r>
        <w:rPr>
          <w:rFonts w:hint="eastAsia" w:ascii="宋体" w:hAnsi="宋体" w:cs="MingLiU"/>
          <w:snapToGrid w:val="0"/>
          <w:color w:val="auto"/>
          <w:kern w:val="0"/>
          <w:szCs w:val="21"/>
        </w:rPr>
        <w:t>本次</w:t>
      </w:r>
      <w:r>
        <w:rPr>
          <w:rFonts w:hint="eastAsia" w:ascii="宋体" w:hAnsi="宋体"/>
          <w:snapToGrid w:val="0"/>
          <w:color w:val="auto"/>
          <w:kern w:val="0"/>
          <w:szCs w:val="21"/>
        </w:rPr>
        <w:t>比选</w:t>
      </w:r>
      <w:r>
        <w:rPr>
          <w:rFonts w:hint="eastAsia" w:ascii="宋体" w:hAnsi="宋体" w:cs="MingLiU"/>
          <w:snapToGrid w:val="0"/>
          <w:color w:val="auto"/>
          <w:kern w:val="0"/>
          <w:szCs w:val="21"/>
        </w:rPr>
        <w:t>范围：见投标人须知前附表。</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ascii="宋体" w:hAnsi="宋体"/>
          <w:snapToGrid w:val="0"/>
          <w:color w:val="auto"/>
          <w:kern w:val="0"/>
          <w:szCs w:val="21"/>
        </w:rPr>
        <w:t xml:space="preserve">1.3.2  </w:t>
      </w:r>
      <w:r>
        <w:rPr>
          <w:rFonts w:hint="eastAsia" w:ascii="宋体" w:hAnsi="宋体" w:cs="MingLiU"/>
          <w:snapToGrid w:val="0"/>
          <w:color w:val="auto"/>
          <w:kern w:val="0"/>
          <w:szCs w:val="21"/>
        </w:rPr>
        <w:t>本标段的计划工期：见投标人须知前附表。</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ascii="宋体" w:hAnsi="宋体"/>
          <w:snapToGrid w:val="0"/>
          <w:color w:val="auto"/>
          <w:kern w:val="0"/>
          <w:szCs w:val="21"/>
        </w:rPr>
        <w:t xml:space="preserve">1.3.3  </w:t>
      </w:r>
      <w:r>
        <w:rPr>
          <w:rFonts w:hint="eastAsia" w:ascii="宋体" w:hAnsi="宋体" w:cs="MingLiU"/>
          <w:snapToGrid w:val="0"/>
          <w:color w:val="auto"/>
          <w:kern w:val="0"/>
          <w:szCs w:val="21"/>
        </w:rPr>
        <w:t>本标段的质量要求：见投标人须知前附表。</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68" w:name="_Toc386029651"/>
      <w:bookmarkStart w:id="69" w:name="_Toc277082557"/>
      <w:bookmarkStart w:id="70" w:name="_Toc452058686"/>
      <w:bookmarkStart w:id="71" w:name="_Toc200513131"/>
      <w:bookmarkStart w:id="72" w:name="_Toc224103322"/>
      <w:bookmarkStart w:id="73" w:name="_Toc287620690"/>
      <w:bookmarkStart w:id="74" w:name="_Toc11398"/>
      <w:bookmarkStart w:id="75" w:name="_Toc287607751"/>
      <w:r>
        <w:rPr>
          <w:rFonts w:ascii="宋体" w:hAnsi="宋体"/>
          <w:b/>
          <w:snapToGrid w:val="0"/>
          <w:color w:val="auto"/>
          <w:kern w:val="0"/>
        </w:rPr>
        <w:t xml:space="preserve">1.4  </w:t>
      </w:r>
      <w:r>
        <w:rPr>
          <w:rFonts w:hint="eastAsia" w:ascii="宋体" w:hAnsi="宋体"/>
          <w:b/>
          <w:snapToGrid w:val="0"/>
          <w:color w:val="auto"/>
          <w:kern w:val="0"/>
        </w:rPr>
        <w:t>投标人资格要求</w:t>
      </w:r>
      <w:bookmarkEnd w:id="68"/>
      <w:bookmarkEnd w:id="69"/>
      <w:bookmarkEnd w:id="70"/>
      <w:bookmarkEnd w:id="71"/>
      <w:bookmarkEnd w:id="72"/>
      <w:bookmarkEnd w:id="73"/>
      <w:bookmarkEnd w:id="74"/>
      <w:bookmarkEnd w:id="75"/>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359" w:firstLineChars="171"/>
        <w:jc w:val="left"/>
        <w:textAlignment w:val="auto"/>
        <w:outlineLvl w:val="9"/>
        <w:rPr>
          <w:rFonts w:ascii="宋体" w:hAnsi="宋体" w:cs="MingLiU"/>
          <w:snapToGrid w:val="0"/>
          <w:color w:val="auto"/>
          <w:kern w:val="0"/>
          <w:szCs w:val="21"/>
        </w:rPr>
      </w:pPr>
      <w:r>
        <w:rPr>
          <w:rFonts w:ascii="宋体" w:hAnsi="宋体"/>
          <w:snapToGrid w:val="0"/>
          <w:color w:val="auto"/>
          <w:kern w:val="0"/>
          <w:szCs w:val="21"/>
        </w:rPr>
        <w:t xml:space="preserve">1.4.1 </w:t>
      </w:r>
      <w:r>
        <w:rPr>
          <w:rFonts w:hint="eastAsia" w:ascii="宋体" w:hAnsi="宋体" w:cs="MingLiU"/>
          <w:snapToGrid w:val="0"/>
          <w:color w:val="auto"/>
          <w:kern w:val="0"/>
          <w:szCs w:val="21"/>
        </w:rPr>
        <w:t>投标人应具备承担本标段施工的资质条件、能力和信誉。</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359" w:firstLine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1</w:t>
      </w:r>
      <w:r>
        <w:rPr>
          <w:rFonts w:hint="eastAsia" w:ascii="宋体" w:hAnsi="宋体" w:cs="MingLiU"/>
          <w:snapToGrid w:val="0"/>
          <w:color w:val="auto"/>
          <w:kern w:val="0"/>
          <w:szCs w:val="21"/>
        </w:rPr>
        <w:t>）</w:t>
      </w:r>
      <w:r>
        <w:rPr>
          <w:rFonts w:hint="eastAsia" w:ascii="宋体" w:hAnsi="宋体"/>
          <w:color w:val="auto"/>
          <w:szCs w:val="21"/>
        </w:rPr>
        <w:t>资质条件、营业执照及安全生产条件</w:t>
      </w:r>
      <w:r>
        <w:rPr>
          <w:rFonts w:hint="eastAsia" w:ascii="宋体" w:hAnsi="宋体" w:cs="MingLiU"/>
          <w:snapToGrid w:val="0"/>
          <w:color w:val="auto"/>
          <w:kern w:val="0"/>
          <w:szCs w:val="21"/>
        </w:rPr>
        <w:t>：见投标人须知前附表；</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359" w:firstLineChars="171"/>
        <w:jc w:val="left"/>
        <w:textAlignment w:val="auto"/>
        <w:outlineLvl w:val="9"/>
        <w:rPr>
          <w:rFonts w:hint="eastAsia" w:ascii="宋体" w:hAnsi="宋体" w:cs="MingLiU"/>
          <w:snapToGrid w:val="0"/>
          <w:color w:val="auto"/>
          <w:kern w:val="0"/>
          <w:szCs w:val="21"/>
        </w:rPr>
      </w:pPr>
      <w:r>
        <w:rPr>
          <w:rFonts w:hint="eastAsia" w:ascii="宋体" w:hAnsi="宋体" w:cs="MingLiU"/>
          <w:snapToGrid w:val="0"/>
          <w:color w:val="auto"/>
          <w:kern w:val="0"/>
          <w:szCs w:val="21"/>
        </w:rPr>
        <w:t>（2）投标截止日投标资格情况：见投标人须知前附表；</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359" w:firstLine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 xml:space="preserve">（3）项目经理资格要求：见投标人须知前附表； </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359" w:firstLine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w:t>
      </w:r>
      <w:r>
        <w:rPr>
          <w:rFonts w:hint="eastAsia" w:ascii="宋体" w:hAnsi="宋体"/>
          <w:snapToGrid w:val="0"/>
          <w:color w:val="auto"/>
          <w:kern w:val="0"/>
          <w:szCs w:val="21"/>
        </w:rPr>
        <w:t>4</w:t>
      </w:r>
      <w:r>
        <w:rPr>
          <w:rFonts w:hint="eastAsia" w:ascii="宋体" w:hAnsi="宋体" w:cs="MingLiU"/>
          <w:snapToGrid w:val="0"/>
          <w:color w:val="auto"/>
          <w:kern w:val="0"/>
          <w:szCs w:val="21"/>
        </w:rPr>
        <w:t>）其他要求：见投标人须知前附表。</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359" w:firstLineChars="171"/>
        <w:jc w:val="left"/>
        <w:textAlignment w:val="auto"/>
        <w:outlineLvl w:val="9"/>
        <w:rPr>
          <w:rFonts w:hint="eastAsia" w:ascii="宋体" w:hAnsi="宋体" w:cs="MingLiU"/>
          <w:snapToGrid w:val="0"/>
          <w:color w:val="auto"/>
          <w:kern w:val="0"/>
          <w:szCs w:val="21"/>
        </w:rPr>
      </w:pPr>
      <w:r>
        <w:rPr>
          <w:rFonts w:ascii="宋体" w:hAnsi="宋体"/>
          <w:snapToGrid w:val="0"/>
          <w:color w:val="auto"/>
          <w:kern w:val="0"/>
          <w:szCs w:val="21"/>
        </w:rPr>
        <w:t xml:space="preserve">1.4.2  </w:t>
      </w:r>
      <w:r>
        <w:rPr>
          <w:rFonts w:hint="eastAsia" w:ascii="宋体" w:hAnsi="宋体" w:cs="MingLiU"/>
          <w:snapToGrid w:val="0"/>
          <w:color w:val="auto"/>
          <w:kern w:val="0"/>
          <w:szCs w:val="21"/>
        </w:rPr>
        <w:t>本工程不接受联合体投标。</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359" w:firstLineChars="171"/>
        <w:jc w:val="left"/>
        <w:textAlignment w:val="auto"/>
        <w:outlineLvl w:val="9"/>
        <w:rPr>
          <w:rFonts w:hint="eastAsia" w:ascii="宋体" w:hAnsi="宋体" w:cs="MingLiU"/>
          <w:snapToGrid w:val="0"/>
          <w:color w:val="auto"/>
          <w:kern w:val="0"/>
          <w:szCs w:val="21"/>
        </w:rPr>
      </w:pPr>
      <w:r>
        <w:rPr>
          <w:rFonts w:ascii="宋体" w:hAnsi="宋体"/>
          <w:snapToGrid w:val="0"/>
          <w:color w:val="auto"/>
          <w:kern w:val="0"/>
          <w:szCs w:val="21"/>
        </w:rPr>
        <w:t xml:space="preserve">1.4.3  </w:t>
      </w:r>
      <w:r>
        <w:rPr>
          <w:rFonts w:hint="eastAsia" w:ascii="宋体" w:hAnsi="宋体" w:cs="MingLiU"/>
          <w:snapToGrid w:val="0"/>
          <w:color w:val="auto"/>
          <w:kern w:val="0"/>
          <w:szCs w:val="21"/>
        </w:rPr>
        <w:t>投标人不得存在下列情形之一：</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359" w:firstLine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position w:val="-2"/>
          <w:szCs w:val="21"/>
        </w:rPr>
        <w:t>（</w:t>
      </w:r>
      <w:r>
        <w:rPr>
          <w:rFonts w:ascii="宋体" w:hAnsi="宋体"/>
          <w:snapToGrid w:val="0"/>
          <w:color w:val="auto"/>
          <w:kern w:val="0"/>
          <w:position w:val="-2"/>
          <w:szCs w:val="21"/>
        </w:rPr>
        <w:t>1</w:t>
      </w:r>
      <w:r>
        <w:rPr>
          <w:rFonts w:hint="eastAsia" w:ascii="宋体" w:hAnsi="宋体" w:cs="MingLiU"/>
          <w:snapToGrid w:val="0"/>
          <w:color w:val="auto"/>
          <w:kern w:val="0"/>
          <w:position w:val="-2"/>
          <w:szCs w:val="21"/>
        </w:rPr>
        <w:t>）与</w:t>
      </w:r>
      <w:r>
        <w:rPr>
          <w:rFonts w:hint="eastAsia" w:ascii="宋体" w:hAnsi="宋体"/>
          <w:snapToGrid w:val="0"/>
          <w:color w:val="auto"/>
          <w:kern w:val="0"/>
          <w:szCs w:val="21"/>
        </w:rPr>
        <w:t>比选</w:t>
      </w:r>
      <w:r>
        <w:rPr>
          <w:rFonts w:hint="eastAsia" w:ascii="宋体" w:hAnsi="宋体" w:cs="MingLiU"/>
          <w:snapToGrid w:val="0"/>
          <w:color w:val="auto"/>
          <w:kern w:val="0"/>
          <w:position w:val="-2"/>
          <w:szCs w:val="21"/>
        </w:rPr>
        <w:t>人存在利害关系可能影响招标公正性的法人、其他组织或者个人；</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359" w:firstLine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2</w:t>
      </w:r>
      <w:r>
        <w:rPr>
          <w:rFonts w:hint="eastAsia" w:ascii="宋体" w:hAnsi="宋体" w:cs="MingLiU"/>
          <w:snapToGrid w:val="0"/>
          <w:color w:val="auto"/>
          <w:kern w:val="0"/>
          <w:szCs w:val="21"/>
        </w:rPr>
        <w:t>）为本标段前期准备提供设计或咨询服务的，但设计施工总承包的除外；</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359" w:firstLine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3</w:t>
      </w:r>
      <w:r>
        <w:rPr>
          <w:rFonts w:hint="eastAsia" w:ascii="宋体" w:hAnsi="宋体" w:cs="MingLiU"/>
          <w:snapToGrid w:val="0"/>
          <w:color w:val="auto"/>
          <w:kern w:val="0"/>
          <w:szCs w:val="21"/>
        </w:rPr>
        <w:t>）为本标段的监理人；</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359" w:firstLine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4</w:t>
      </w:r>
      <w:r>
        <w:rPr>
          <w:rFonts w:hint="eastAsia" w:ascii="宋体" w:hAnsi="宋体" w:cs="MingLiU"/>
          <w:snapToGrid w:val="0"/>
          <w:color w:val="auto"/>
          <w:kern w:val="0"/>
          <w:szCs w:val="21"/>
        </w:rPr>
        <w:t>）为本标段的代建人；</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359" w:firstLine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5</w:t>
      </w:r>
      <w:r>
        <w:rPr>
          <w:rFonts w:hint="eastAsia" w:ascii="宋体" w:hAnsi="宋体" w:cs="MingLiU"/>
          <w:snapToGrid w:val="0"/>
          <w:color w:val="auto"/>
          <w:kern w:val="0"/>
          <w:szCs w:val="21"/>
        </w:rPr>
        <w:t>）为本标段提供</w:t>
      </w:r>
      <w:r>
        <w:rPr>
          <w:rFonts w:hint="eastAsia" w:ascii="宋体" w:hAnsi="宋体"/>
          <w:snapToGrid w:val="0"/>
          <w:color w:val="auto"/>
          <w:kern w:val="0"/>
          <w:szCs w:val="21"/>
        </w:rPr>
        <w:t>比选</w:t>
      </w:r>
      <w:r>
        <w:rPr>
          <w:rFonts w:hint="eastAsia" w:ascii="宋体" w:hAnsi="宋体" w:cs="MingLiU"/>
          <w:snapToGrid w:val="0"/>
          <w:color w:val="auto"/>
          <w:kern w:val="0"/>
          <w:szCs w:val="21"/>
        </w:rPr>
        <w:t>代理服务的；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359" w:firstLine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6</w:t>
      </w:r>
      <w:r>
        <w:rPr>
          <w:rFonts w:hint="eastAsia" w:ascii="宋体" w:hAnsi="宋体" w:cs="MingLiU"/>
          <w:snapToGrid w:val="0"/>
          <w:color w:val="auto"/>
          <w:kern w:val="0"/>
          <w:szCs w:val="21"/>
        </w:rPr>
        <w:t>）与本标段的监理人或代建人或</w:t>
      </w:r>
      <w:r>
        <w:rPr>
          <w:rFonts w:hint="eastAsia" w:ascii="宋体" w:hAnsi="宋体"/>
          <w:snapToGrid w:val="0"/>
          <w:color w:val="auto"/>
          <w:kern w:val="0"/>
          <w:szCs w:val="21"/>
        </w:rPr>
        <w:t>比选</w:t>
      </w:r>
      <w:r>
        <w:rPr>
          <w:rFonts w:hint="eastAsia" w:ascii="宋体" w:hAnsi="宋体" w:cs="MingLiU"/>
          <w:snapToGrid w:val="0"/>
          <w:color w:val="auto"/>
          <w:kern w:val="0"/>
          <w:szCs w:val="21"/>
        </w:rPr>
        <w:t>代理机构同为一个法定代表人的；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359" w:firstLine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7</w:t>
      </w:r>
      <w:r>
        <w:rPr>
          <w:rFonts w:hint="eastAsia" w:ascii="宋体" w:hAnsi="宋体" w:cs="MingLiU"/>
          <w:snapToGrid w:val="0"/>
          <w:color w:val="auto"/>
          <w:kern w:val="0"/>
          <w:szCs w:val="21"/>
        </w:rPr>
        <w:t>）与本标段的监理人或代建人或</w:t>
      </w:r>
      <w:r>
        <w:rPr>
          <w:rFonts w:hint="eastAsia" w:ascii="宋体" w:hAnsi="宋体"/>
          <w:snapToGrid w:val="0"/>
          <w:color w:val="auto"/>
          <w:kern w:val="0"/>
          <w:szCs w:val="21"/>
        </w:rPr>
        <w:t>比选</w:t>
      </w:r>
      <w:r>
        <w:rPr>
          <w:rFonts w:hint="eastAsia" w:ascii="宋体" w:hAnsi="宋体" w:cs="MingLiU"/>
          <w:snapToGrid w:val="0"/>
          <w:color w:val="auto"/>
          <w:kern w:val="0"/>
          <w:szCs w:val="21"/>
        </w:rPr>
        <w:t>代理机构相互控股或参股的；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359" w:firstLine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8</w:t>
      </w:r>
      <w:r>
        <w:rPr>
          <w:rFonts w:hint="eastAsia" w:ascii="宋体" w:hAnsi="宋体" w:cs="MingLiU"/>
          <w:snapToGrid w:val="0"/>
          <w:color w:val="auto"/>
          <w:kern w:val="0"/>
          <w:szCs w:val="21"/>
        </w:rPr>
        <w:t>）与本标段的监理人或代建人或</w:t>
      </w:r>
      <w:r>
        <w:rPr>
          <w:rFonts w:hint="eastAsia" w:ascii="宋体" w:hAnsi="宋体"/>
          <w:snapToGrid w:val="0"/>
          <w:color w:val="auto"/>
          <w:kern w:val="0"/>
          <w:szCs w:val="21"/>
        </w:rPr>
        <w:t>比选</w:t>
      </w:r>
      <w:r>
        <w:rPr>
          <w:rFonts w:hint="eastAsia" w:ascii="宋体" w:hAnsi="宋体" w:cs="MingLiU"/>
          <w:snapToGrid w:val="0"/>
          <w:color w:val="auto"/>
          <w:kern w:val="0"/>
          <w:szCs w:val="21"/>
        </w:rPr>
        <w:t>代理机构相互任职或工作的；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359" w:firstLine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9</w:t>
      </w:r>
      <w:r>
        <w:rPr>
          <w:rFonts w:hint="eastAsia" w:ascii="宋体" w:hAnsi="宋体" w:cs="MingLiU"/>
          <w:snapToGrid w:val="0"/>
          <w:color w:val="auto"/>
          <w:kern w:val="0"/>
          <w:szCs w:val="21"/>
        </w:rPr>
        <w:t>）被责令停业的；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359" w:firstLine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10</w:t>
      </w:r>
      <w:r>
        <w:rPr>
          <w:rFonts w:hint="eastAsia" w:ascii="宋体" w:hAnsi="宋体" w:cs="MingLiU"/>
          <w:snapToGrid w:val="0"/>
          <w:color w:val="auto"/>
          <w:kern w:val="0"/>
          <w:szCs w:val="21"/>
        </w:rPr>
        <w:t>）被暂停或取消投标资格的；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359" w:firstLine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11</w:t>
      </w:r>
      <w:r>
        <w:rPr>
          <w:rFonts w:hint="eastAsia" w:ascii="宋体" w:hAnsi="宋体" w:cs="MingLiU"/>
          <w:snapToGrid w:val="0"/>
          <w:color w:val="auto"/>
          <w:kern w:val="0"/>
          <w:szCs w:val="21"/>
        </w:rPr>
        <w:t>）财产被接管或冻结的；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359" w:firstLineChars="171"/>
        <w:jc w:val="left"/>
        <w:textAlignment w:val="auto"/>
        <w:outlineLvl w:val="9"/>
        <w:rPr>
          <w:rFonts w:hint="eastAsia"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12</w:t>
      </w:r>
      <w:r>
        <w:rPr>
          <w:rFonts w:hint="eastAsia" w:ascii="宋体" w:hAnsi="宋体" w:cs="MingLiU"/>
          <w:snapToGrid w:val="0"/>
          <w:color w:val="auto"/>
          <w:kern w:val="0"/>
          <w:szCs w:val="21"/>
        </w:rPr>
        <w:t>）</w:t>
      </w:r>
      <w:r>
        <w:rPr>
          <w:rFonts w:hint="eastAsia"/>
          <w:color w:val="auto"/>
          <w:sz w:val="22"/>
          <w:szCs w:val="22"/>
        </w:rPr>
        <w:t>单位负责人为同一人或者存在控股、管理关系的不同单位</w:t>
      </w:r>
      <w:r>
        <w:rPr>
          <w:color w:val="auto"/>
          <w:sz w:val="22"/>
          <w:szCs w:val="22"/>
        </w:rPr>
        <w:t>，不得在同一标段中同时投标</w:t>
      </w:r>
      <w:r>
        <w:rPr>
          <w:rFonts w:hint="eastAsia" w:ascii="宋体" w:hAnsi="宋体" w:cs="MingLiU"/>
          <w:snapToGrid w:val="0"/>
          <w:color w:val="auto"/>
          <w:kern w:val="0"/>
          <w:szCs w:val="21"/>
        </w:rPr>
        <w:t>。</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76" w:name="_Toc452058687"/>
      <w:bookmarkStart w:id="77" w:name="_Toc287607752"/>
      <w:bookmarkStart w:id="78" w:name="_Toc224103323"/>
      <w:bookmarkStart w:id="79" w:name="_Toc287620691"/>
      <w:bookmarkStart w:id="80" w:name="_Toc386029652"/>
      <w:bookmarkStart w:id="81" w:name="_Toc1875"/>
      <w:bookmarkStart w:id="82" w:name="_Toc200513132"/>
      <w:bookmarkStart w:id="83" w:name="_Toc277082558"/>
      <w:r>
        <w:rPr>
          <w:rFonts w:ascii="宋体" w:hAnsi="宋体"/>
          <w:b/>
          <w:snapToGrid w:val="0"/>
          <w:color w:val="auto"/>
          <w:kern w:val="0"/>
        </w:rPr>
        <w:t xml:space="preserve">1.5  </w:t>
      </w:r>
      <w:r>
        <w:rPr>
          <w:rFonts w:hint="eastAsia" w:ascii="宋体" w:hAnsi="宋体"/>
          <w:b/>
          <w:snapToGrid w:val="0"/>
          <w:color w:val="auto"/>
          <w:kern w:val="0"/>
        </w:rPr>
        <w:t>费用承担</w:t>
      </w:r>
      <w:bookmarkEnd w:id="76"/>
      <w:bookmarkEnd w:id="77"/>
      <w:bookmarkEnd w:id="78"/>
      <w:bookmarkEnd w:id="79"/>
      <w:bookmarkEnd w:id="80"/>
      <w:bookmarkEnd w:id="81"/>
      <w:bookmarkEnd w:id="82"/>
      <w:bookmarkEnd w:id="83"/>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投标人准备和参加投标活动发生的费用自理。</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84" w:name="_Toc287620692"/>
      <w:bookmarkStart w:id="85" w:name="_Toc452058688"/>
      <w:bookmarkStart w:id="86" w:name="_Toc224103324"/>
      <w:bookmarkStart w:id="87" w:name="_Toc7780"/>
      <w:bookmarkStart w:id="88" w:name="_Toc277082559"/>
      <w:bookmarkStart w:id="89" w:name="_Toc386029653"/>
      <w:bookmarkStart w:id="90" w:name="_Toc200513133"/>
      <w:bookmarkStart w:id="91" w:name="_Toc287607753"/>
      <w:r>
        <w:rPr>
          <w:rFonts w:ascii="宋体" w:hAnsi="宋体"/>
          <w:b/>
          <w:snapToGrid w:val="0"/>
          <w:color w:val="auto"/>
          <w:kern w:val="0"/>
        </w:rPr>
        <w:t xml:space="preserve">1.6  </w:t>
      </w:r>
      <w:r>
        <w:rPr>
          <w:rFonts w:hint="eastAsia" w:ascii="宋体" w:hAnsi="宋体"/>
          <w:b/>
          <w:snapToGrid w:val="0"/>
          <w:color w:val="auto"/>
          <w:kern w:val="0"/>
        </w:rPr>
        <w:t>保密</w:t>
      </w:r>
      <w:bookmarkEnd w:id="84"/>
      <w:bookmarkEnd w:id="85"/>
      <w:bookmarkEnd w:id="86"/>
      <w:bookmarkEnd w:id="87"/>
      <w:bookmarkEnd w:id="88"/>
      <w:bookmarkEnd w:id="89"/>
      <w:bookmarkEnd w:id="90"/>
      <w:bookmarkEnd w:id="91"/>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参与招标投标活动的各方应对</w:t>
      </w:r>
      <w:r>
        <w:rPr>
          <w:rFonts w:hint="eastAsia" w:ascii="宋体" w:hAnsi="宋体"/>
          <w:snapToGrid w:val="0"/>
          <w:color w:val="auto"/>
          <w:kern w:val="0"/>
          <w:szCs w:val="21"/>
        </w:rPr>
        <w:t>比选</w:t>
      </w:r>
      <w:r>
        <w:rPr>
          <w:rFonts w:hint="eastAsia" w:ascii="宋体" w:hAnsi="宋体" w:cs="MingLiU"/>
          <w:snapToGrid w:val="0"/>
          <w:color w:val="auto"/>
          <w:kern w:val="0"/>
          <w:szCs w:val="21"/>
        </w:rPr>
        <w:t>文件和投标文件中的商业和技术等秘密保密，违者应对由此造成的后果承担法律责任。</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92" w:name="_Toc386029654"/>
      <w:bookmarkStart w:id="93" w:name="_Toc200513134"/>
      <w:bookmarkStart w:id="94" w:name="_Toc277082560"/>
      <w:bookmarkStart w:id="95" w:name="_Toc452058689"/>
      <w:bookmarkStart w:id="96" w:name="_Toc23797"/>
      <w:bookmarkStart w:id="97" w:name="_Toc287607754"/>
      <w:bookmarkStart w:id="98" w:name="_Toc224103325"/>
      <w:bookmarkStart w:id="99" w:name="_Toc287620693"/>
      <w:r>
        <w:rPr>
          <w:rFonts w:ascii="宋体" w:hAnsi="宋体"/>
          <w:b/>
          <w:snapToGrid w:val="0"/>
          <w:color w:val="auto"/>
          <w:kern w:val="0"/>
        </w:rPr>
        <w:t xml:space="preserve">1.7  </w:t>
      </w:r>
      <w:r>
        <w:rPr>
          <w:rFonts w:hint="eastAsia" w:ascii="宋体" w:hAnsi="宋体"/>
          <w:b/>
          <w:snapToGrid w:val="0"/>
          <w:color w:val="auto"/>
          <w:kern w:val="0"/>
        </w:rPr>
        <w:t>语言文字</w:t>
      </w:r>
      <w:bookmarkEnd w:id="92"/>
      <w:bookmarkEnd w:id="93"/>
      <w:bookmarkEnd w:id="94"/>
      <w:bookmarkEnd w:id="95"/>
      <w:bookmarkEnd w:id="96"/>
      <w:bookmarkEnd w:id="97"/>
      <w:bookmarkEnd w:id="98"/>
      <w:bookmarkEnd w:id="99"/>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除专用术语外，与招标投标有关的语言均使用中文。必要时专用术语应附有中文注释。</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100" w:name="_Toc386029655"/>
      <w:bookmarkStart w:id="101" w:name="_Toc26466"/>
      <w:bookmarkStart w:id="102" w:name="_Toc224103326"/>
      <w:bookmarkStart w:id="103" w:name="_Toc277082561"/>
      <w:bookmarkStart w:id="104" w:name="_Toc287607755"/>
      <w:bookmarkStart w:id="105" w:name="_Toc200513135"/>
      <w:bookmarkStart w:id="106" w:name="_Toc452058690"/>
      <w:bookmarkStart w:id="107" w:name="_Toc287620694"/>
      <w:r>
        <w:rPr>
          <w:rFonts w:ascii="宋体" w:hAnsi="宋体"/>
          <w:b/>
          <w:snapToGrid w:val="0"/>
          <w:color w:val="auto"/>
          <w:kern w:val="0"/>
        </w:rPr>
        <w:t xml:space="preserve">1.8  </w:t>
      </w:r>
      <w:r>
        <w:rPr>
          <w:rFonts w:hint="eastAsia" w:ascii="宋体" w:hAnsi="宋体"/>
          <w:b/>
          <w:snapToGrid w:val="0"/>
          <w:color w:val="auto"/>
          <w:kern w:val="0"/>
        </w:rPr>
        <w:t>计量单位</w:t>
      </w:r>
      <w:bookmarkEnd w:id="100"/>
      <w:bookmarkEnd w:id="101"/>
      <w:bookmarkEnd w:id="102"/>
      <w:bookmarkEnd w:id="103"/>
      <w:bookmarkEnd w:id="104"/>
      <w:bookmarkEnd w:id="105"/>
      <w:bookmarkEnd w:id="106"/>
      <w:bookmarkEnd w:id="107"/>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4" w:firstLineChars="202"/>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所有计量均采用中华人民共和国法定计量单位。</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108" w:name="_Toc16750"/>
      <w:bookmarkStart w:id="109" w:name="_Toc287607756"/>
      <w:bookmarkStart w:id="110" w:name="_Toc386029656"/>
      <w:bookmarkStart w:id="111" w:name="_Toc200513136"/>
      <w:bookmarkStart w:id="112" w:name="_Toc277082562"/>
      <w:bookmarkStart w:id="113" w:name="_Toc452058691"/>
      <w:bookmarkStart w:id="114" w:name="_Toc224103327"/>
      <w:bookmarkStart w:id="115" w:name="_Toc287620695"/>
      <w:r>
        <w:rPr>
          <w:rFonts w:ascii="宋体" w:hAnsi="宋体"/>
          <w:b/>
          <w:snapToGrid w:val="0"/>
          <w:color w:val="auto"/>
          <w:kern w:val="0"/>
        </w:rPr>
        <w:t xml:space="preserve">1.9  </w:t>
      </w:r>
      <w:r>
        <w:rPr>
          <w:rFonts w:hint="eastAsia" w:ascii="宋体" w:hAnsi="宋体"/>
          <w:b/>
          <w:snapToGrid w:val="0"/>
          <w:color w:val="auto"/>
          <w:kern w:val="0"/>
        </w:rPr>
        <w:t>踏勘现场</w:t>
      </w:r>
      <w:bookmarkEnd w:id="108"/>
      <w:bookmarkEnd w:id="109"/>
      <w:bookmarkEnd w:id="110"/>
      <w:bookmarkEnd w:id="111"/>
      <w:bookmarkEnd w:id="112"/>
      <w:bookmarkEnd w:id="113"/>
      <w:bookmarkEnd w:id="114"/>
      <w:bookmarkEnd w:id="115"/>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jc w:val="left"/>
        <w:textAlignment w:val="auto"/>
        <w:outlineLvl w:val="9"/>
        <w:rPr>
          <w:rFonts w:ascii="宋体" w:hAnsi="宋体" w:cs="MingLiU"/>
          <w:snapToGrid w:val="0"/>
          <w:color w:val="auto"/>
          <w:kern w:val="0"/>
          <w:szCs w:val="21"/>
        </w:rPr>
      </w:pPr>
      <w:r>
        <w:rPr>
          <w:rFonts w:ascii="宋体" w:hAnsi="宋体" w:cs="MingLiU"/>
          <w:snapToGrid w:val="0"/>
          <w:color w:val="auto"/>
          <w:kern w:val="0"/>
          <w:szCs w:val="21"/>
        </w:rPr>
        <w:t xml:space="preserve">1.9.1  </w:t>
      </w:r>
      <w:r>
        <w:rPr>
          <w:rFonts w:hint="eastAsia" w:ascii="宋体" w:hAnsi="宋体" w:cs="MingLiU"/>
          <w:snapToGrid w:val="0"/>
          <w:color w:val="auto"/>
          <w:kern w:val="0"/>
          <w:szCs w:val="21"/>
        </w:rPr>
        <w:t>由投标人自行踏勘项目现场。</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jc w:val="left"/>
        <w:textAlignment w:val="auto"/>
        <w:outlineLvl w:val="9"/>
        <w:rPr>
          <w:rFonts w:ascii="宋体" w:hAnsi="宋体" w:cs="MingLiU"/>
          <w:snapToGrid w:val="0"/>
          <w:color w:val="auto"/>
          <w:kern w:val="0"/>
          <w:szCs w:val="21"/>
        </w:rPr>
      </w:pPr>
      <w:r>
        <w:rPr>
          <w:rFonts w:ascii="宋体" w:hAnsi="宋体" w:cs="MingLiU"/>
          <w:snapToGrid w:val="0"/>
          <w:color w:val="auto"/>
          <w:kern w:val="0"/>
          <w:szCs w:val="21"/>
        </w:rPr>
        <w:t xml:space="preserve">1.9.2  </w:t>
      </w:r>
      <w:r>
        <w:rPr>
          <w:rFonts w:hint="eastAsia" w:ascii="宋体" w:hAnsi="宋体" w:cs="MingLiU"/>
          <w:snapToGrid w:val="0"/>
          <w:color w:val="auto"/>
          <w:kern w:val="0"/>
          <w:szCs w:val="21"/>
        </w:rPr>
        <w:t>投标人踏勘现场发生的费用自理。</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jc w:val="left"/>
        <w:textAlignment w:val="auto"/>
        <w:outlineLvl w:val="9"/>
        <w:rPr>
          <w:rFonts w:ascii="宋体" w:hAnsi="宋体" w:cs="MingLiU"/>
          <w:snapToGrid w:val="0"/>
          <w:color w:val="auto"/>
          <w:kern w:val="0"/>
          <w:szCs w:val="21"/>
        </w:rPr>
      </w:pPr>
      <w:r>
        <w:rPr>
          <w:rFonts w:ascii="宋体" w:hAnsi="宋体" w:cs="MingLiU"/>
          <w:snapToGrid w:val="0"/>
          <w:color w:val="auto"/>
          <w:kern w:val="0"/>
          <w:szCs w:val="21"/>
        </w:rPr>
        <w:t xml:space="preserve">1.9.3 </w:t>
      </w:r>
      <w:r>
        <w:rPr>
          <w:rFonts w:hint="eastAsia" w:ascii="宋体" w:hAnsi="宋体" w:cs="MingLiU"/>
          <w:snapToGrid w:val="0"/>
          <w:color w:val="auto"/>
          <w:kern w:val="0"/>
          <w:szCs w:val="21"/>
        </w:rPr>
        <w:t xml:space="preserve"> 投标人自行负责在踏勘现场中所发生的人员伤亡和财产损失。</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hint="eastAsia" w:ascii="宋体" w:hAnsi="宋体"/>
          <w:b/>
          <w:snapToGrid w:val="0"/>
          <w:color w:val="auto"/>
          <w:kern w:val="0"/>
        </w:rPr>
      </w:pPr>
      <w:bookmarkStart w:id="116" w:name="_Toc386029657"/>
      <w:bookmarkStart w:id="117" w:name="_Toc452058692"/>
      <w:bookmarkStart w:id="118" w:name="_Toc200513137"/>
      <w:bookmarkStart w:id="119" w:name="_Toc224103328"/>
      <w:bookmarkStart w:id="120" w:name="_Toc287607757"/>
      <w:bookmarkStart w:id="121" w:name="_Toc287620696"/>
      <w:bookmarkStart w:id="122" w:name="_Toc277082563"/>
      <w:bookmarkStart w:id="123" w:name="_Toc9283"/>
      <w:r>
        <w:rPr>
          <w:rFonts w:ascii="宋体" w:hAnsi="宋体"/>
          <w:b/>
          <w:snapToGrid w:val="0"/>
          <w:color w:val="auto"/>
          <w:kern w:val="0"/>
        </w:rPr>
        <w:t xml:space="preserve">1.10  </w:t>
      </w:r>
      <w:r>
        <w:rPr>
          <w:rFonts w:hint="eastAsia" w:ascii="宋体" w:hAnsi="宋体"/>
          <w:b/>
          <w:snapToGrid w:val="0"/>
          <w:color w:val="auto"/>
          <w:kern w:val="0"/>
        </w:rPr>
        <w:t>投标预备会</w:t>
      </w:r>
      <w:bookmarkEnd w:id="116"/>
      <w:bookmarkEnd w:id="117"/>
      <w:bookmarkEnd w:id="118"/>
      <w:bookmarkEnd w:id="119"/>
      <w:bookmarkEnd w:id="120"/>
      <w:bookmarkEnd w:id="121"/>
      <w:bookmarkEnd w:id="122"/>
      <w:bookmarkEnd w:id="123"/>
      <w:bookmarkStart w:id="124" w:name="_Toc277082564"/>
      <w:bookmarkStart w:id="125" w:name="_Toc224103329"/>
      <w:bookmarkStart w:id="126" w:name="_Toc287607758"/>
      <w:bookmarkStart w:id="127" w:name="_Toc200513138"/>
      <w:bookmarkStart w:id="128" w:name="_Toc287620697"/>
    </w:p>
    <w:p>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snapToGrid w:val="0"/>
          <w:color w:val="auto"/>
          <w:kern w:val="0"/>
          <w:sz w:val="24"/>
        </w:rPr>
      </w:pPr>
      <w:r>
        <w:rPr>
          <w:rFonts w:hint="eastAsia" w:ascii="宋体" w:hAnsi="宋体"/>
          <w:color w:val="auto"/>
          <w:szCs w:val="21"/>
        </w:rPr>
        <w:t>本工程不召开投标预备会。</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129" w:name="_Toc386029658"/>
      <w:bookmarkStart w:id="130" w:name="_Toc21003"/>
      <w:bookmarkStart w:id="131" w:name="_Toc452058693"/>
      <w:r>
        <w:rPr>
          <w:rFonts w:ascii="宋体" w:hAnsi="宋体"/>
          <w:b/>
          <w:snapToGrid w:val="0"/>
          <w:color w:val="auto"/>
          <w:kern w:val="0"/>
        </w:rPr>
        <w:t xml:space="preserve">1.11  </w:t>
      </w:r>
      <w:r>
        <w:rPr>
          <w:rFonts w:hint="eastAsia" w:ascii="宋体" w:hAnsi="宋体"/>
          <w:b/>
          <w:snapToGrid w:val="0"/>
          <w:color w:val="auto"/>
          <w:kern w:val="0"/>
        </w:rPr>
        <w:t>分包</w:t>
      </w:r>
      <w:bookmarkEnd w:id="124"/>
      <w:bookmarkEnd w:id="125"/>
      <w:bookmarkEnd w:id="126"/>
      <w:bookmarkEnd w:id="127"/>
      <w:bookmarkEnd w:id="128"/>
      <w:bookmarkEnd w:id="129"/>
      <w:bookmarkEnd w:id="130"/>
      <w:bookmarkEnd w:id="131"/>
    </w:p>
    <w:p>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olor w:val="auto"/>
          <w:szCs w:val="21"/>
        </w:rPr>
      </w:pPr>
      <w:bookmarkStart w:id="132" w:name="_Toc277082565"/>
      <w:bookmarkStart w:id="133" w:name="_Toc287620698"/>
      <w:bookmarkStart w:id="134" w:name="_Toc2639"/>
      <w:bookmarkStart w:id="135" w:name="_Toc386029659"/>
      <w:bookmarkStart w:id="136" w:name="_Toc200513139"/>
      <w:bookmarkStart w:id="137" w:name="_Toc224103330"/>
      <w:bookmarkStart w:id="138" w:name="_Toc287607759"/>
      <w:r>
        <w:rPr>
          <w:rFonts w:hint="eastAsia" w:ascii="宋体" w:hAnsi="宋体"/>
          <w:color w:val="auto"/>
          <w:szCs w:val="21"/>
        </w:rPr>
        <w:t>本工程（劳务除外）不允许分包。</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139" w:name="_Toc452058694"/>
      <w:r>
        <w:rPr>
          <w:rFonts w:ascii="宋体" w:hAnsi="宋体"/>
          <w:b/>
          <w:snapToGrid w:val="0"/>
          <w:color w:val="auto"/>
          <w:kern w:val="0"/>
        </w:rPr>
        <w:t xml:space="preserve">1.12  </w:t>
      </w:r>
      <w:r>
        <w:rPr>
          <w:rFonts w:hint="eastAsia" w:ascii="宋体" w:hAnsi="宋体"/>
          <w:b/>
          <w:snapToGrid w:val="0"/>
          <w:color w:val="auto"/>
          <w:kern w:val="0"/>
        </w:rPr>
        <w:t>偏离</w:t>
      </w:r>
      <w:bookmarkEnd w:id="132"/>
      <w:bookmarkEnd w:id="133"/>
      <w:bookmarkEnd w:id="134"/>
      <w:bookmarkEnd w:id="135"/>
      <w:bookmarkEnd w:id="136"/>
      <w:bookmarkEnd w:id="137"/>
      <w:bookmarkEnd w:id="138"/>
      <w:bookmarkEnd w:id="139"/>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5"/>
        <w:jc w:val="left"/>
        <w:textAlignment w:val="auto"/>
        <w:outlineLvl w:val="9"/>
        <w:rPr>
          <w:rFonts w:ascii="宋体" w:hAnsi="宋体" w:cs="宋体"/>
          <w:snapToGrid w:val="0"/>
          <w:color w:val="auto"/>
          <w:kern w:val="0"/>
          <w:sz w:val="24"/>
        </w:rPr>
      </w:pPr>
      <w:bookmarkStart w:id="140" w:name="_Toc386029660"/>
      <w:bookmarkStart w:id="141" w:name="_Toc224103331"/>
      <w:bookmarkStart w:id="142" w:name="_Toc3930"/>
      <w:bookmarkStart w:id="143" w:name="_Toc277082566"/>
      <w:bookmarkStart w:id="144" w:name="_Toc287607760"/>
      <w:bookmarkStart w:id="145" w:name="_Toc8538"/>
      <w:bookmarkStart w:id="146" w:name="_Toc200513140"/>
      <w:r>
        <w:rPr>
          <w:rFonts w:hint="eastAsia" w:ascii="宋体" w:hAnsi="宋体" w:cs="MingLiU"/>
          <w:snapToGrid w:val="0"/>
          <w:color w:val="auto"/>
          <w:kern w:val="0"/>
          <w:szCs w:val="21"/>
        </w:rPr>
        <w:t>投标人须知前附表允许投标文件偏离招标文件某些要求的，偏离应当符合</w:t>
      </w:r>
      <w:r>
        <w:rPr>
          <w:rFonts w:hint="eastAsia" w:ascii="宋体" w:hAnsi="宋体"/>
          <w:snapToGrid w:val="0"/>
          <w:color w:val="auto"/>
          <w:kern w:val="0"/>
          <w:szCs w:val="21"/>
        </w:rPr>
        <w:t>比选</w:t>
      </w:r>
      <w:r>
        <w:rPr>
          <w:rFonts w:hint="eastAsia" w:ascii="宋体" w:hAnsi="宋体" w:cs="MingLiU"/>
          <w:snapToGrid w:val="0"/>
          <w:color w:val="auto"/>
          <w:kern w:val="0"/>
          <w:szCs w:val="21"/>
        </w:rPr>
        <w:t>文件规定的偏离范围和幅度。</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147" w:name="_Toc452058695"/>
      <w:r>
        <w:rPr>
          <w:rFonts w:ascii="宋体" w:hAnsi="宋体"/>
          <w:b/>
          <w:snapToGrid w:val="0"/>
          <w:color w:val="auto"/>
          <w:kern w:val="0"/>
        </w:rPr>
        <w:t xml:space="preserve">2.  </w:t>
      </w:r>
      <w:r>
        <w:rPr>
          <w:rFonts w:hint="eastAsia" w:ascii="宋体" w:hAnsi="宋体"/>
          <w:b/>
          <w:snapToGrid w:val="0"/>
          <w:color w:val="auto"/>
          <w:kern w:val="0"/>
        </w:rPr>
        <w:t>竞争性比选文件</w:t>
      </w:r>
      <w:bookmarkEnd w:id="140"/>
      <w:bookmarkEnd w:id="141"/>
      <w:bookmarkEnd w:id="142"/>
      <w:bookmarkEnd w:id="143"/>
      <w:bookmarkEnd w:id="144"/>
      <w:bookmarkEnd w:id="145"/>
      <w:bookmarkEnd w:id="146"/>
      <w:bookmarkEnd w:id="147"/>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148" w:name="_Toc287620700"/>
      <w:bookmarkStart w:id="149" w:name="_Toc287607761"/>
      <w:bookmarkStart w:id="150" w:name="_Toc224103332"/>
      <w:bookmarkStart w:id="151" w:name="_Toc200513141"/>
      <w:bookmarkStart w:id="152" w:name="_Toc386029661"/>
      <w:bookmarkStart w:id="153" w:name="_Toc24222"/>
      <w:bookmarkStart w:id="154" w:name="_Toc277082567"/>
      <w:bookmarkStart w:id="155" w:name="_Toc452058696"/>
      <w:r>
        <w:rPr>
          <w:rFonts w:ascii="宋体" w:hAnsi="宋体"/>
          <w:b/>
          <w:snapToGrid w:val="0"/>
          <w:color w:val="auto"/>
          <w:kern w:val="0"/>
        </w:rPr>
        <w:t xml:space="preserve">2.1  </w:t>
      </w:r>
      <w:r>
        <w:rPr>
          <w:rFonts w:hint="eastAsia" w:ascii="宋体" w:hAnsi="宋体"/>
          <w:b/>
          <w:snapToGrid w:val="0"/>
          <w:color w:val="auto"/>
          <w:kern w:val="0"/>
        </w:rPr>
        <w:t>竞争性比选文件的组成</w:t>
      </w:r>
      <w:bookmarkEnd w:id="148"/>
      <w:bookmarkEnd w:id="149"/>
      <w:bookmarkEnd w:id="150"/>
      <w:bookmarkEnd w:id="151"/>
      <w:bookmarkEnd w:id="152"/>
      <w:bookmarkEnd w:id="153"/>
      <w:bookmarkEnd w:id="154"/>
      <w:bookmarkEnd w:id="155"/>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本招标文件包括：</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1</w:t>
      </w:r>
      <w:r>
        <w:rPr>
          <w:rFonts w:hint="eastAsia" w:ascii="宋体" w:hAnsi="宋体" w:cs="MingLiU"/>
          <w:snapToGrid w:val="0"/>
          <w:color w:val="auto"/>
          <w:kern w:val="0"/>
          <w:szCs w:val="21"/>
        </w:rPr>
        <w:t>）竞争性比选公告；</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2</w:t>
      </w:r>
      <w:r>
        <w:rPr>
          <w:rFonts w:hint="eastAsia" w:ascii="宋体" w:hAnsi="宋体" w:cs="MingLiU"/>
          <w:snapToGrid w:val="0"/>
          <w:color w:val="auto"/>
          <w:kern w:val="0"/>
          <w:szCs w:val="21"/>
        </w:rPr>
        <w:t>）投标人须知；</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3</w:t>
      </w:r>
      <w:r>
        <w:rPr>
          <w:rFonts w:hint="eastAsia" w:ascii="宋体" w:hAnsi="宋体" w:cs="MingLiU"/>
          <w:snapToGrid w:val="0"/>
          <w:color w:val="auto"/>
          <w:kern w:val="0"/>
          <w:szCs w:val="21"/>
        </w:rPr>
        <w:t>）评标办法；</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4</w:t>
      </w:r>
      <w:r>
        <w:rPr>
          <w:rFonts w:hint="eastAsia" w:ascii="宋体" w:hAnsi="宋体" w:cs="MingLiU"/>
          <w:snapToGrid w:val="0"/>
          <w:color w:val="auto"/>
          <w:kern w:val="0"/>
          <w:szCs w:val="21"/>
        </w:rPr>
        <w:t>）合同条款及格式；</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5</w:t>
      </w:r>
      <w:r>
        <w:rPr>
          <w:rFonts w:hint="eastAsia" w:ascii="宋体" w:hAnsi="宋体" w:cs="MingLiU"/>
          <w:snapToGrid w:val="0"/>
          <w:color w:val="auto"/>
          <w:kern w:val="0"/>
          <w:szCs w:val="21"/>
        </w:rPr>
        <w:t>）工程量清单；</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6</w:t>
      </w:r>
      <w:r>
        <w:rPr>
          <w:rFonts w:hint="eastAsia" w:ascii="宋体" w:hAnsi="宋体" w:cs="MingLiU"/>
          <w:snapToGrid w:val="0"/>
          <w:color w:val="auto"/>
          <w:kern w:val="0"/>
          <w:szCs w:val="21"/>
        </w:rPr>
        <w:t>）图纸；</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7</w:t>
      </w:r>
      <w:r>
        <w:rPr>
          <w:rFonts w:hint="eastAsia" w:ascii="宋体" w:hAnsi="宋体" w:cs="MingLiU"/>
          <w:snapToGrid w:val="0"/>
          <w:color w:val="auto"/>
          <w:kern w:val="0"/>
          <w:szCs w:val="21"/>
        </w:rPr>
        <w:t>）技术标准和要求；</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8</w:t>
      </w:r>
      <w:r>
        <w:rPr>
          <w:rFonts w:hint="eastAsia" w:ascii="宋体" w:hAnsi="宋体" w:cs="MingLiU"/>
          <w:snapToGrid w:val="0"/>
          <w:color w:val="auto"/>
          <w:kern w:val="0"/>
          <w:szCs w:val="21"/>
        </w:rPr>
        <w:t>）投标文件格式；</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9</w:t>
      </w:r>
      <w:r>
        <w:rPr>
          <w:rFonts w:hint="eastAsia" w:ascii="宋体" w:hAnsi="宋体" w:cs="MingLiU"/>
          <w:snapToGrid w:val="0"/>
          <w:color w:val="auto"/>
          <w:kern w:val="0"/>
          <w:szCs w:val="21"/>
        </w:rPr>
        <w:t>）投标人须知前附表规定的其他材料。</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根据本章第</w:t>
      </w:r>
      <w:r>
        <w:rPr>
          <w:rFonts w:ascii="宋体" w:hAnsi="宋体"/>
          <w:snapToGrid w:val="0"/>
          <w:color w:val="auto"/>
          <w:kern w:val="0"/>
          <w:szCs w:val="21"/>
        </w:rPr>
        <w:t>1.10</w:t>
      </w:r>
      <w:r>
        <w:rPr>
          <w:rFonts w:hint="eastAsia" w:ascii="宋体" w:hAnsi="宋体" w:cs="MingLiU"/>
          <w:snapToGrid w:val="0"/>
          <w:color w:val="auto"/>
          <w:kern w:val="0"/>
          <w:szCs w:val="21"/>
        </w:rPr>
        <w:t>款、第</w:t>
      </w:r>
      <w:r>
        <w:rPr>
          <w:rFonts w:ascii="宋体" w:hAnsi="宋体"/>
          <w:snapToGrid w:val="0"/>
          <w:color w:val="auto"/>
          <w:kern w:val="0"/>
          <w:szCs w:val="21"/>
        </w:rPr>
        <w:t>2.2</w:t>
      </w:r>
      <w:r>
        <w:rPr>
          <w:rFonts w:hint="eastAsia" w:ascii="宋体" w:hAnsi="宋体" w:cs="MingLiU"/>
          <w:snapToGrid w:val="0"/>
          <w:color w:val="auto"/>
          <w:kern w:val="0"/>
          <w:szCs w:val="21"/>
        </w:rPr>
        <w:t>款和第</w:t>
      </w:r>
      <w:r>
        <w:rPr>
          <w:rFonts w:ascii="宋体" w:hAnsi="宋体"/>
          <w:snapToGrid w:val="0"/>
          <w:color w:val="auto"/>
          <w:kern w:val="0"/>
          <w:szCs w:val="21"/>
        </w:rPr>
        <w:t>2.3</w:t>
      </w:r>
      <w:r>
        <w:rPr>
          <w:rFonts w:hint="eastAsia" w:ascii="宋体" w:hAnsi="宋体" w:cs="MingLiU"/>
          <w:snapToGrid w:val="0"/>
          <w:color w:val="auto"/>
          <w:kern w:val="0"/>
          <w:szCs w:val="21"/>
        </w:rPr>
        <w:t>款对竞争性比选文件所作的澄清、修改，构成招标文件的组成部分。</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156" w:name="_Toc224103333"/>
      <w:bookmarkStart w:id="157" w:name="_Toc386029662"/>
      <w:bookmarkStart w:id="158" w:name="_Toc287620701"/>
      <w:bookmarkStart w:id="159" w:name="_Toc277082568"/>
      <w:bookmarkStart w:id="160" w:name="_Toc287607762"/>
      <w:bookmarkStart w:id="161" w:name="_Toc452058697"/>
      <w:bookmarkStart w:id="162" w:name="_Toc24022"/>
      <w:bookmarkStart w:id="163" w:name="_Toc200513142"/>
      <w:r>
        <w:rPr>
          <w:rFonts w:ascii="宋体" w:hAnsi="宋体"/>
          <w:b/>
          <w:snapToGrid w:val="0"/>
          <w:color w:val="auto"/>
          <w:kern w:val="0"/>
        </w:rPr>
        <w:t xml:space="preserve">2.2 </w:t>
      </w:r>
      <w:r>
        <w:rPr>
          <w:rFonts w:hint="eastAsia" w:ascii="宋体" w:hAnsi="宋体"/>
          <w:b/>
          <w:snapToGrid w:val="0"/>
          <w:color w:val="auto"/>
          <w:kern w:val="0"/>
        </w:rPr>
        <w:t xml:space="preserve"> 竞争性比选文件的澄清</w:t>
      </w:r>
      <w:bookmarkEnd w:id="156"/>
      <w:bookmarkEnd w:id="157"/>
      <w:bookmarkEnd w:id="158"/>
      <w:bookmarkEnd w:id="159"/>
      <w:bookmarkEnd w:id="160"/>
      <w:bookmarkEnd w:id="161"/>
      <w:bookmarkEnd w:id="162"/>
      <w:bookmarkEnd w:id="163"/>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outlineLvl w:val="9"/>
        <w:rPr>
          <w:rFonts w:hint="eastAsia" w:ascii="宋体" w:hAnsi="宋体"/>
          <w:snapToGrid w:val="0"/>
          <w:color w:val="auto"/>
          <w:kern w:val="0"/>
        </w:rPr>
      </w:pPr>
      <w:bookmarkStart w:id="164" w:name="_Toc200513143"/>
      <w:bookmarkStart w:id="165" w:name="_Toc287620702"/>
      <w:bookmarkStart w:id="166" w:name="_Toc224103334"/>
      <w:bookmarkStart w:id="167" w:name="_Toc287607763"/>
      <w:bookmarkStart w:id="168" w:name="_Toc277082569"/>
      <w:r>
        <w:rPr>
          <w:rFonts w:hint="eastAsia" w:ascii="宋体" w:hAnsi="宋体"/>
          <w:snapToGrid w:val="0"/>
          <w:color w:val="auto"/>
          <w:kern w:val="0"/>
        </w:rPr>
        <w:t>2.2.1 投标人应仔细阅读和检查比选文件的全部内容。如发现缺页或附件不全，应在投标人须知前附表规定的时间前，及时将其质疑以匿名传真至招标代理机构</w:t>
      </w:r>
      <w:r>
        <w:rPr>
          <w:rFonts w:hint="eastAsia" w:ascii="宋体" w:hAnsi="宋体"/>
          <w:b w:val="0"/>
          <w:bCs/>
          <w:snapToGrid w:val="0"/>
          <w:color w:val="auto"/>
          <w:kern w:val="0"/>
        </w:rPr>
        <w:t>，</w:t>
      </w:r>
      <w:r>
        <w:rPr>
          <w:rFonts w:hint="eastAsia" w:ascii="宋体" w:hAnsi="宋体"/>
          <w:snapToGrid w:val="0"/>
          <w:color w:val="auto"/>
          <w:kern w:val="0"/>
        </w:rPr>
        <w:t>要求比选人对比选文件予以澄清。</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outlineLvl w:val="9"/>
        <w:rPr>
          <w:rFonts w:hint="eastAsia" w:ascii="宋体" w:hAnsi="宋体"/>
          <w:color w:val="auto"/>
        </w:rPr>
      </w:pPr>
      <w:r>
        <w:rPr>
          <w:rFonts w:ascii="宋体" w:hAnsi="宋体"/>
          <w:snapToGrid w:val="0"/>
          <w:color w:val="auto"/>
          <w:kern w:val="0"/>
          <w:szCs w:val="21"/>
        </w:rPr>
        <w:t xml:space="preserve">2.2.2 </w:t>
      </w:r>
      <w:r>
        <w:rPr>
          <w:rFonts w:hint="eastAsia" w:ascii="宋体" w:hAnsi="宋体"/>
          <w:color w:val="auto"/>
        </w:rPr>
        <w:t>比选文件的澄清将在投标人须知前附表规定的投标截止时间3天前，在</w:t>
      </w:r>
      <w:r>
        <w:rPr>
          <w:rFonts w:hint="eastAsia" w:ascii="宋体" w:hAnsi="宋体" w:cs="宋体"/>
          <w:color w:val="auto"/>
          <w:kern w:val="0"/>
          <w:szCs w:val="21"/>
          <w:lang w:eastAsia="zh-CN"/>
        </w:rPr>
        <w:t>重庆安居古城网站（http://www.anjugc.cn/index.htm）</w:t>
      </w:r>
      <w:r>
        <w:rPr>
          <w:rFonts w:hint="eastAsia" w:ascii="宋体" w:hAnsi="宋体"/>
          <w:color w:val="auto"/>
        </w:rPr>
        <w:t>上公告，但不指明澄清问题的来源。如果澄清发出的时间距投标截止时间不足3天且影响投标文件编制的，相应延长投标截止时间。</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outlineLvl w:val="9"/>
        <w:rPr>
          <w:rFonts w:hint="eastAsia" w:ascii="宋体" w:hAnsi="宋体"/>
          <w:color w:val="auto"/>
        </w:rPr>
      </w:pPr>
      <w:r>
        <w:rPr>
          <w:rFonts w:ascii="宋体" w:hAnsi="宋体"/>
          <w:snapToGrid w:val="0"/>
          <w:color w:val="auto"/>
          <w:kern w:val="0"/>
          <w:position w:val="-2"/>
          <w:szCs w:val="21"/>
        </w:rPr>
        <w:t xml:space="preserve">2.2.3 </w:t>
      </w:r>
      <w:bookmarkStart w:id="169" w:name="_Toc16533"/>
      <w:bookmarkStart w:id="170" w:name="_Toc386029663"/>
      <w:r>
        <w:rPr>
          <w:rFonts w:hint="eastAsia" w:ascii="宋体" w:hAnsi="宋体"/>
          <w:color w:val="auto"/>
        </w:rPr>
        <w:t>凡有意参加投标者，从本项目比选公告发布之日起，请随时关注</w:t>
      </w:r>
      <w:r>
        <w:rPr>
          <w:rFonts w:hint="eastAsia" w:ascii="宋体" w:hAnsi="宋体" w:cs="宋体"/>
          <w:color w:val="auto"/>
          <w:kern w:val="0"/>
          <w:szCs w:val="21"/>
          <w:lang w:eastAsia="zh-CN"/>
        </w:rPr>
        <w:t>重庆安居古城网站（http://www.anjugc.cn/index.htm）</w:t>
      </w:r>
      <w:r>
        <w:rPr>
          <w:rFonts w:hint="eastAsia" w:ascii="宋体" w:hAnsi="宋体"/>
          <w:color w:val="auto"/>
        </w:rPr>
        <w:t>，并</w:t>
      </w:r>
      <w:r>
        <w:rPr>
          <w:rFonts w:hint="eastAsia" w:ascii="宋体" w:hAnsi="宋体"/>
          <w:color w:val="auto"/>
          <w:lang w:val="en-US" w:eastAsia="zh-CN"/>
        </w:rPr>
        <w:t>查阅</w:t>
      </w:r>
      <w:r>
        <w:rPr>
          <w:rFonts w:hint="eastAsia" w:ascii="宋体" w:hAnsi="宋体"/>
          <w:color w:val="auto"/>
        </w:rPr>
        <w:t>本招标项目的比选澄清等开标前资料，比选人不再另行通知，不论投标人是否查阅，比选人和比选代理机构均视为投标人已知晓比选人对比选文件作出的澄清。</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171" w:name="_Toc452058698"/>
      <w:r>
        <w:rPr>
          <w:rFonts w:ascii="宋体" w:hAnsi="宋体"/>
          <w:b/>
          <w:snapToGrid w:val="0"/>
          <w:color w:val="auto"/>
          <w:kern w:val="0"/>
        </w:rPr>
        <w:t xml:space="preserve">2.3 </w:t>
      </w:r>
      <w:r>
        <w:rPr>
          <w:rFonts w:hint="eastAsia" w:ascii="宋体" w:hAnsi="宋体"/>
          <w:b/>
          <w:snapToGrid w:val="0"/>
          <w:color w:val="auto"/>
          <w:kern w:val="0"/>
        </w:rPr>
        <w:t>比选文件招标文件的修改</w:t>
      </w:r>
      <w:bookmarkEnd w:id="164"/>
      <w:bookmarkEnd w:id="165"/>
      <w:bookmarkEnd w:id="166"/>
      <w:bookmarkEnd w:id="167"/>
      <w:bookmarkEnd w:id="168"/>
      <w:bookmarkEnd w:id="169"/>
      <w:bookmarkEnd w:id="170"/>
      <w:bookmarkEnd w:id="171"/>
    </w:p>
    <w:p>
      <w:pPr>
        <w:keepNext w:val="0"/>
        <w:keepLines w:val="0"/>
        <w:pageBreakBefore w:val="0"/>
        <w:widowControl w:val="0"/>
        <w:kinsoku/>
        <w:wordWrap/>
        <w:overflowPunct/>
        <w:topLinePunct w:val="0"/>
        <w:bidi w:val="0"/>
        <w:spacing w:line="380" w:lineRule="exact"/>
        <w:ind w:firstLine="420" w:firstLineChars="200"/>
        <w:jc w:val="left"/>
        <w:textAlignment w:val="auto"/>
        <w:outlineLvl w:val="9"/>
        <w:rPr>
          <w:rFonts w:ascii="宋体" w:hAnsi="宋体"/>
          <w:color w:val="auto"/>
        </w:rPr>
      </w:pPr>
      <w:bookmarkStart w:id="172" w:name="_Toc287607764"/>
      <w:bookmarkStart w:id="173" w:name="_Toc277082570"/>
      <w:bookmarkStart w:id="174" w:name="_Toc224103335"/>
      <w:bookmarkStart w:id="175" w:name="_Toc200513144"/>
      <w:r>
        <w:rPr>
          <w:rFonts w:ascii="宋体" w:hAnsi="宋体"/>
          <w:color w:val="auto"/>
        </w:rPr>
        <w:t>2.3.1</w:t>
      </w:r>
      <w:r>
        <w:rPr>
          <w:rFonts w:hint="eastAsia" w:ascii="宋体" w:hAnsi="宋体"/>
          <w:color w:val="auto"/>
        </w:rPr>
        <w:t>比选文件的修改在</w:t>
      </w:r>
      <w:r>
        <w:rPr>
          <w:rFonts w:hint="eastAsia" w:ascii="宋体" w:hAnsi="宋体" w:cs="宋体"/>
          <w:color w:val="auto"/>
          <w:kern w:val="0"/>
          <w:szCs w:val="21"/>
          <w:lang w:eastAsia="zh-CN"/>
        </w:rPr>
        <w:t>重庆安居古城网站（http://www.anjugc.cn/index.htm）</w:t>
      </w:r>
      <w:r>
        <w:rPr>
          <w:rFonts w:hint="eastAsia" w:ascii="宋体" w:hAnsi="宋体"/>
          <w:snapToGrid w:val="0"/>
          <w:color w:val="auto"/>
          <w:kern w:val="0"/>
        </w:rPr>
        <w:t>上</w:t>
      </w:r>
      <w:r>
        <w:rPr>
          <w:rFonts w:hint="eastAsia" w:ascii="宋体" w:hAnsi="宋体"/>
          <w:color w:val="auto"/>
        </w:rPr>
        <w:t>公告。如果修改比选文件的时间距投标截止时间不足3天且影响投标文件编制的，相应延长投标截止时间。</w:t>
      </w:r>
    </w:p>
    <w:p>
      <w:pPr>
        <w:keepNext w:val="0"/>
        <w:keepLines w:val="0"/>
        <w:pageBreakBefore w:val="0"/>
        <w:widowControl w:val="0"/>
        <w:kinsoku/>
        <w:wordWrap/>
        <w:overflowPunct/>
        <w:topLinePunct w:val="0"/>
        <w:bidi w:val="0"/>
        <w:spacing w:line="380" w:lineRule="exact"/>
        <w:ind w:firstLine="420" w:firstLineChars="200"/>
        <w:jc w:val="left"/>
        <w:textAlignment w:val="auto"/>
        <w:outlineLvl w:val="9"/>
        <w:rPr>
          <w:rFonts w:ascii="宋体" w:hAnsi="宋体"/>
          <w:color w:val="auto"/>
        </w:rPr>
      </w:pPr>
      <w:bookmarkStart w:id="176" w:name="_Toc386029664"/>
      <w:bookmarkStart w:id="177" w:name="_Toc32055"/>
      <w:bookmarkStart w:id="178" w:name="_Toc16595"/>
      <w:r>
        <w:rPr>
          <w:rFonts w:ascii="宋体" w:hAnsi="宋体"/>
          <w:color w:val="auto"/>
        </w:rPr>
        <w:t xml:space="preserve">2.3.2 </w:t>
      </w:r>
      <w:r>
        <w:rPr>
          <w:rFonts w:hint="eastAsia" w:ascii="宋体" w:hAnsi="宋体"/>
          <w:color w:val="auto"/>
        </w:rPr>
        <w:t>凡有意参加投标者，从本项目比选公告发布之日起，请随时关注</w:t>
      </w:r>
      <w:r>
        <w:rPr>
          <w:rFonts w:hint="eastAsia" w:ascii="宋体" w:hAnsi="宋体" w:cs="宋体"/>
          <w:color w:val="auto"/>
          <w:kern w:val="0"/>
          <w:szCs w:val="21"/>
          <w:lang w:eastAsia="zh-CN"/>
        </w:rPr>
        <w:t>重庆安居古城网站（http://www.anjugc.cn/index.htm）</w:t>
      </w:r>
      <w:r>
        <w:rPr>
          <w:rFonts w:hint="eastAsia" w:ascii="宋体" w:hAnsi="宋体"/>
          <w:color w:val="auto"/>
        </w:rPr>
        <w:t>，并</w:t>
      </w:r>
      <w:r>
        <w:rPr>
          <w:rFonts w:hint="eastAsia" w:ascii="宋体" w:hAnsi="宋体"/>
          <w:color w:val="auto"/>
          <w:lang w:val="en-US" w:eastAsia="zh-CN"/>
        </w:rPr>
        <w:t>查阅</w:t>
      </w:r>
      <w:r>
        <w:rPr>
          <w:rFonts w:hint="eastAsia" w:ascii="宋体" w:hAnsi="宋体"/>
          <w:color w:val="auto"/>
        </w:rPr>
        <w:t>本比选项目的比选修改内容等开标前资料，比选人不再另行通知，不论投标人是否查阅，比选人和比选代理机构都视为投标人已知晓比选人对比选文件作出的修改。</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179" w:name="_Toc452058699"/>
      <w:r>
        <w:rPr>
          <w:rFonts w:ascii="宋体" w:hAnsi="宋体"/>
          <w:b/>
          <w:snapToGrid w:val="0"/>
          <w:color w:val="auto"/>
          <w:kern w:val="0"/>
        </w:rPr>
        <w:t xml:space="preserve">3.  </w:t>
      </w:r>
      <w:r>
        <w:rPr>
          <w:rFonts w:hint="eastAsia" w:ascii="宋体" w:hAnsi="宋体"/>
          <w:b/>
          <w:snapToGrid w:val="0"/>
          <w:color w:val="auto"/>
          <w:kern w:val="0"/>
        </w:rPr>
        <w:t>投标文件</w:t>
      </w:r>
      <w:bookmarkEnd w:id="172"/>
      <w:bookmarkEnd w:id="173"/>
      <w:bookmarkEnd w:id="174"/>
      <w:bookmarkEnd w:id="175"/>
      <w:bookmarkEnd w:id="176"/>
      <w:bookmarkEnd w:id="177"/>
      <w:bookmarkEnd w:id="178"/>
      <w:bookmarkEnd w:id="179"/>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180" w:name="_Toc200513145"/>
      <w:bookmarkStart w:id="181" w:name="_Toc287620704"/>
      <w:bookmarkStart w:id="182" w:name="_Toc452058700"/>
      <w:bookmarkStart w:id="183" w:name="_Toc287607765"/>
      <w:bookmarkStart w:id="184" w:name="_Toc224103336"/>
      <w:bookmarkStart w:id="185" w:name="_Toc386029665"/>
      <w:bookmarkStart w:id="186" w:name="_Toc277082571"/>
      <w:bookmarkStart w:id="187" w:name="_Toc10647"/>
      <w:r>
        <w:rPr>
          <w:rFonts w:ascii="宋体" w:hAnsi="宋体"/>
          <w:b/>
          <w:snapToGrid w:val="0"/>
          <w:color w:val="auto"/>
          <w:kern w:val="0"/>
        </w:rPr>
        <w:t xml:space="preserve">3.1  </w:t>
      </w:r>
      <w:r>
        <w:rPr>
          <w:rFonts w:hint="eastAsia" w:ascii="宋体" w:hAnsi="宋体"/>
          <w:b/>
          <w:snapToGrid w:val="0"/>
          <w:color w:val="auto"/>
          <w:kern w:val="0"/>
        </w:rPr>
        <w:t>投标文件的组成</w:t>
      </w:r>
      <w:bookmarkEnd w:id="180"/>
      <w:bookmarkEnd w:id="181"/>
      <w:bookmarkEnd w:id="182"/>
      <w:bookmarkEnd w:id="183"/>
      <w:bookmarkEnd w:id="184"/>
      <w:bookmarkEnd w:id="185"/>
      <w:bookmarkEnd w:id="186"/>
      <w:bookmarkEnd w:id="187"/>
    </w:p>
    <w:p>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snapToGrid w:val="0"/>
          <w:kern w:val="0"/>
          <w:szCs w:val="21"/>
        </w:rPr>
      </w:pPr>
      <w:r>
        <w:rPr>
          <w:rFonts w:ascii="宋体" w:hAnsi="宋体"/>
          <w:snapToGrid w:val="0"/>
          <w:kern w:val="0"/>
          <w:szCs w:val="21"/>
        </w:rPr>
        <w:t>3.1.1 投标文件应包括下列内容：</w:t>
      </w:r>
    </w:p>
    <w:p>
      <w:pPr>
        <w:pageBreakBefore w:val="0"/>
        <w:kinsoku/>
        <w:wordWrap/>
        <w:overflowPunct/>
        <w:topLinePunct w:val="0"/>
        <w:bidi w:val="0"/>
        <w:spacing w:line="400" w:lineRule="exact"/>
        <w:ind w:firstLine="420" w:firstLineChars="200"/>
        <w:textAlignment w:val="auto"/>
        <w:rPr>
          <w:rFonts w:ascii="宋体" w:hAnsi="宋体"/>
        </w:rPr>
      </w:pPr>
      <w:r>
        <w:rPr>
          <w:rFonts w:hint="eastAsia" w:ascii="宋体" w:hAnsi="宋体"/>
        </w:rPr>
        <w:t>3.1.1.1投标函部分</w:t>
      </w:r>
    </w:p>
    <w:p>
      <w:pPr>
        <w:pageBreakBefore w:val="0"/>
        <w:kinsoku/>
        <w:wordWrap/>
        <w:overflowPunct/>
        <w:topLinePunct w:val="0"/>
        <w:bidi w:val="0"/>
        <w:spacing w:line="400" w:lineRule="exact"/>
        <w:ind w:firstLine="420" w:firstLineChars="200"/>
        <w:textAlignment w:val="auto"/>
        <w:rPr>
          <w:rFonts w:ascii="宋体" w:hAnsi="宋体"/>
        </w:rPr>
      </w:pPr>
      <w:r>
        <w:rPr>
          <w:rFonts w:hint="eastAsia" w:ascii="宋体" w:hAnsi="宋体"/>
        </w:rPr>
        <w:t>（1）投标函</w:t>
      </w:r>
    </w:p>
    <w:p>
      <w:pPr>
        <w:pageBreakBefore w:val="0"/>
        <w:kinsoku/>
        <w:wordWrap/>
        <w:overflowPunct/>
        <w:topLinePunct w:val="0"/>
        <w:bidi w:val="0"/>
        <w:spacing w:line="400" w:lineRule="exact"/>
        <w:ind w:firstLine="420" w:firstLineChars="200"/>
        <w:textAlignment w:val="auto"/>
        <w:rPr>
          <w:rFonts w:ascii="宋体" w:hAnsi="宋体"/>
        </w:rPr>
      </w:pPr>
      <w:r>
        <w:rPr>
          <w:rFonts w:hint="eastAsia" w:ascii="宋体" w:hAnsi="宋体"/>
        </w:rPr>
        <w:t>（2）投标函附录</w:t>
      </w:r>
    </w:p>
    <w:p>
      <w:pPr>
        <w:pageBreakBefore w:val="0"/>
        <w:kinsoku/>
        <w:wordWrap/>
        <w:overflowPunct/>
        <w:topLinePunct w:val="0"/>
        <w:bidi w:val="0"/>
        <w:spacing w:line="400" w:lineRule="exact"/>
        <w:ind w:firstLine="420" w:firstLineChars="200"/>
        <w:textAlignment w:val="auto"/>
        <w:rPr>
          <w:rFonts w:ascii="宋体" w:hAnsi="宋体"/>
        </w:rPr>
      </w:pPr>
      <w:r>
        <w:rPr>
          <w:rFonts w:hint="eastAsia" w:ascii="宋体" w:hAnsi="宋体"/>
        </w:rPr>
        <w:t>（3）法定代表人身份证明或附有法定代表人身份证明的授权委托书</w:t>
      </w:r>
    </w:p>
    <w:p>
      <w:pPr>
        <w:pageBreakBefore w:val="0"/>
        <w:kinsoku/>
        <w:wordWrap/>
        <w:overflowPunct/>
        <w:topLinePunct w:val="0"/>
        <w:bidi w:val="0"/>
        <w:spacing w:line="400" w:lineRule="exact"/>
        <w:ind w:firstLine="420" w:firstLineChars="200"/>
        <w:textAlignment w:val="auto"/>
        <w:rPr>
          <w:rFonts w:ascii="宋体" w:hAnsi="宋体"/>
        </w:rPr>
      </w:pPr>
      <w:r>
        <w:rPr>
          <w:rFonts w:hint="eastAsia" w:ascii="宋体" w:hAnsi="宋体"/>
        </w:rPr>
        <w:t>3.1.1.2经济部分</w:t>
      </w:r>
    </w:p>
    <w:p>
      <w:pPr>
        <w:pageBreakBefore w:val="0"/>
        <w:kinsoku/>
        <w:wordWrap/>
        <w:overflowPunct/>
        <w:topLinePunct w:val="0"/>
        <w:bidi w:val="0"/>
        <w:spacing w:line="400" w:lineRule="exact"/>
        <w:ind w:firstLine="420" w:firstLineChars="200"/>
        <w:textAlignment w:val="auto"/>
        <w:rPr>
          <w:rFonts w:ascii="宋体" w:hAnsi="宋体"/>
        </w:rPr>
      </w:pPr>
      <w:r>
        <w:rPr>
          <w:rFonts w:hint="eastAsia" w:ascii="宋体" w:hAnsi="宋体"/>
        </w:rPr>
        <w:t>（1）已标价工程量清单</w:t>
      </w:r>
    </w:p>
    <w:p>
      <w:pPr>
        <w:pageBreakBefore w:val="0"/>
        <w:kinsoku/>
        <w:wordWrap/>
        <w:overflowPunct/>
        <w:topLinePunct w:val="0"/>
        <w:bidi w:val="0"/>
        <w:spacing w:line="400" w:lineRule="exact"/>
        <w:ind w:firstLine="420" w:firstLineChars="200"/>
        <w:textAlignment w:val="auto"/>
        <w:rPr>
          <w:rFonts w:ascii="宋体" w:hAnsi="宋体"/>
        </w:rPr>
      </w:pPr>
      <w:r>
        <w:rPr>
          <w:rFonts w:hint="eastAsia" w:ascii="宋体" w:hAnsi="宋体"/>
        </w:rPr>
        <w:t>3.1.1.3资格审查部分</w:t>
      </w:r>
    </w:p>
    <w:p>
      <w:pPr>
        <w:pageBreakBefore w:val="0"/>
        <w:kinsoku/>
        <w:wordWrap/>
        <w:overflowPunct/>
        <w:topLinePunct w:val="0"/>
        <w:bidi w:val="0"/>
        <w:spacing w:line="400" w:lineRule="exact"/>
        <w:ind w:firstLine="420" w:firstLineChars="200"/>
        <w:textAlignment w:val="auto"/>
        <w:rPr>
          <w:rFonts w:ascii="宋体" w:hAnsi="宋体"/>
        </w:rPr>
      </w:pPr>
      <w:r>
        <w:rPr>
          <w:rFonts w:hint="eastAsia" w:ascii="宋体" w:hAnsi="宋体"/>
        </w:rPr>
        <w:t>（1）法定代表人身份证明或附有法定代表人身份证明的授权委托书</w:t>
      </w:r>
    </w:p>
    <w:p>
      <w:pPr>
        <w:pageBreakBefore w:val="0"/>
        <w:kinsoku/>
        <w:wordWrap/>
        <w:overflowPunct/>
        <w:topLinePunct w:val="0"/>
        <w:bidi w:val="0"/>
        <w:spacing w:line="400" w:lineRule="exact"/>
        <w:ind w:firstLine="420" w:firstLineChars="200"/>
        <w:textAlignment w:val="auto"/>
        <w:rPr>
          <w:rFonts w:ascii="宋体" w:hAnsi="宋体"/>
        </w:rPr>
      </w:pPr>
      <w:r>
        <w:rPr>
          <w:rFonts w:hint="eastAsia" w:ascii="宋体" w:hAnsi="宋体"/>
        </w:rPr>
        <w:t>（2）联合体协议书（如有）</w:t>
      </w:r>
    </w:p>
    <w:p>
      <w:pPr>
        <w:pageBreakBefore w:val="0"/>
        <w:kinsoku/>
        <w:wordWrap/>
        <w:overflowPunct/>
        <w:topLinePunct w:val="0"/>
        <w:bidi w:val="0"/>
        <w:spacing w:line="400" w:lineRule="exact"/>
        <w:ind w:firstLine="420" w:firstLineChars="200"/>
        <w:textAlignment w:val="auto"/>
        <w:rPr>
          <w:rFonts w:ascii="宋体" w:hAnsi="宋体"/>
        </w:rPr>
      </w:pPr>
      <w:r>
        <w:rPr>
          <w:rFonts w:hint="eastAsia" w:ascii="宋体" w:hAnsi="宋体"/>
        </w:rPr>
        <w:t>（3）投标人基本情况表</w:t>
      </w:r>
    </w:p>
    <w:p>
      <w:pPr>
        <w:pageBreakBefore w:val="0"/>
        <w:kinsoku/>
        <w:wordWrap/>
        <w:overflowPunct/>
        <w:topLinePunct w:val="0"/>
        <w:bidi w:val="0"/>
        <w:spacing w:line="400" w:lineRule="exact"/>
        <w:ind w:firstLine="420" w:firstLineChars="200"/>
        <w:textAlignment w:val="auto"/>
        <w:rPr>
          <w:rFonts w:ascii="宋体" w:hAnsi="宋体"/>
        </w:rPr>
      </w:pPr>
      <w:r>
        <w:rPr>
          <w:rFonts w:hint="eastAsia" w:ascii="宋体" w:hAnsi="宋体"/>
        </w:rPr>
        <w:t>（4）承诺</w:t>
      </w:r>
    </w:p>
    <w:p>
      <w:pPr>
        <w:pageBreakBefore w:val="0"/>
        <w:kinsoku/>
        <w:wordWrap/>
        <w:overflowPunct/>
        <w:topLinePunct w:val="0"/>
        <w:bidi w:val="0"/>
        <w:spacing w:line="400" w:lineRule="exact"/>
        <w:ind w:firstLine="420" w:firstLineChars="200"/>
        <w:textAlignment w:val="auto"/>
        <w:rPr>
          <w:rFonts w:ascii="宋体" w:hAnsi="宋体"/>
        </w:rPr>
      </w:pPr>
      <w:r>
        <w:rPr>
          <w:rFonts w:hint="eastAsia" w:ascii="宋体" w:hAnsi="宋体"/>
        </w:rPr>
        <w:t>（</w:t>
      </w:r>
      <w:r>
        <w:rPr>
          <w:rFonts w:hint="eastAsia" w:ascii="宋体" w:hAnsi="宋体"/>
          <w:lang w:val="en-US" w:eastAsia="zh-CN"/>
        </w:rPr>
        <w:t>5</w:t>
      </w:r>
      <w:r>
        <w:rPr>
          <w:rFonts w:hint="eastAsia" w:ascii="宋体" w:hAnsi="宋体"/>
        </w:rPr>
        <w:t>）其他资料</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hint="eastAsia" w:ascii="宋体" w:hAnsi="宋体"/>
          <w:b/>
          <w:snapToGrid w:val="0"/>
          <w:color w:val="auto"/>
          <w:kern w:val="0"/>
        </w:rPr>
      </w:pPr>
      <w:bookmarkStart w:id="188" w:name="_Toc224103337"/>
      <w:bookmarkStart w:id="189" w:name="_Toc287620705"/>
      <w:bookmarkStart w:id="190" w:name="_Toc18950"/>
      <w:bookmarkStart w:id="191" w:name="_Toc200513146"/>
      <w:bookmarkStart w:id="192" w:name="_Toc452058701"/>
      <w:bookmarkStart w:id="193" w:name="_Toc287607766"/>
      <w:bookmarkStart w:id="194" w:name="_Toc386029666"/>
      <w:bookmarkStart w:id="195" w:name="_Toc277082572"/>
      <w:r>
        <w:rPr>
          <w:rFonts w:ascii="宋体" w:hAnsi="宋体"/>
          <w:b/>
          <w:snapToGrid w:val="0"/>
          <w:color w:val="auto"/>
          <w:kern w:val="0"/>
        </w:rPr>
        <w:t xml:space="preserve">3.2  </w:t>
      </w:r>
      <w:r>
        <w:rPr>
          <w:rFonts w:hint="eastAsia" w:ascii="宋体" w:hAnsi="宋体"/>
          <w:b/>
          <w:snapToGrid w:val="0"/>
          <w:color w:val="auto"/>
          <w:kern w:val="0"/>
        </w:rPr>
        <w:t>投标报价</w:t>
      </w:r>
      <w:bookmarkEnd w:id="188"/>
      <w:bookmarkEnd w:id="189"/>
      <w:bookmarkEnd w:id="190"/>
      <w:bookmarkEnd w:id="191"/>
      <w:bookmarkEnd w:id="192"/>
      <w:bookmarkEnd w:id="193"/>
      <w:bookmarkEnd w:id="194"/>
      <w:bookmarkEnd w:id="195"/>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jc w:val="left"/>
        <w:textAlignment w:val="auto"/>
        <w:outlineLvl w:val="9"/>
        <w:rPr>
          <w:rFonts w:ascii="宋体" w:hAnsi="宋体" w:cs="MingLiU"/>
          <w:snapToGrid w:val="0"/>
          <w:color w:val="auto"/>
          <w:kern w:val="0"/>
          <w:szCs w:val="21"/>
        </w:rPr>
      </w:pPr>
      <w:r>
        <w:rPr>
          <w:rFonts w:ascii="宋体" w:hAnsi="宋体"/>
          <w:snapToGrid w:val="0"/>
          <w:color w:val="auto"/>
          <w:kern w:val="0"/>
          <w:szCs w:val="21"/>
        </w:rPr>
        <w:t xml:space="preserve">3.2.1  </w:t>
      </w:r>
      <w:r>
        <w:rPr>
          <w:rFonts w:hint="eastAsia" w:ascii="宋体" w:hAnsi="宋体" w:cs="MingLiU"/>
          <w:snapToGrid w:val="0"/>
          <w:color w:val="auto"/>
          <w:kern w:val="0"/>
          <w:szCs w:val="21"/>
        </w:rPr>
        <w:t>投标人应按第二章投标人须知和第五章“工程量清单”的要求填写相应表格。</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jc w:val="left"/>
        <w:textAlignment w:val="auto"/>
        <w:outlineLvl w:val="9"/>
        <w:rPr>
          <w:rFonts w:hint="eastAsia" w:ascii="宋体" w:hAnsi="宋体" w:cs="MingLiU"/>
          <w:snapToGrid w:val="0"/>
          <w:color w:val="auto"/>
          <w:kern w:val="0"/>
          <w:szCs w:val="21"/>
        </w:rPr>
      </w:pPr>
      <w:r>
        <w:rPr>
          <w:rFonts w:hint="eastAsia" w:ascii="宋体" w:hAnsi="宋体" w:cs="MingLiU"/>
          <w:snapToGrid w:val="0"/>
          <w:color w:val="auto"/>
          <w:kern w:val="0"/>
          <w:szCs w:val="21"/>
        </w:rPr>
        <w:t>3.2.2  投标人在投标截止时间前修改投标函中的投标总报价，应同时修改第五章“工程量清单”中的相应报价。此修改须符合本章第</w:t>
      </w:r>
      <w:r>
        <w:rPr>
          <w:rFonts w:ascii="宋体" w:hAnsi="宋体"/>
          <w:snapToGrid w:val="0"/>
          <w:color w:val="auto"/>
          <w:kern w:val="0"/>
          <w:szCs w:val="21"/>
        </w:rPr>
        <w:t xml:space="preserve"> 4.3 </w:t>
      </w:r>
      <w:r>
        <w:rPr>
          <w:rFonts w:hint="eastAsia" w:ascii="宋体" w:hAnsi="宋体" w:cs="MingLiU"/>
          <w:snapToGrid w:val="0"/>
          <w:color w:val="auto"/>
          <w:kern w:val="0"/>
          <w:szCs w:val="21"/>
        </w:rPr>
        <w:t>款的有关要求。</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196" w:name="_Toc277082573"/>
      <w:bookmarkStart w:id="197" w:name="_Toc287620706"/>
      <w:bookmarkStart w:id="198" w:name="_Toc287607767"/>
      <w:bookmarkStart w:id="199" w:name="_Toc452058702"/>
      <w:bookmarkStart w:id="200" w:name="_Toc386029667"/>
      <w:bookmarkStart w:id="201" w:name="_Toc224103338"/>
      <w:bookmarkStart w:id="202" w:name="_Toc200513147"/>
      <w:bookmarkStart w:id="203" w:name="_Toc21238"/>
      <w:r>
        <w:rPr>
          <w:rFonts w:ascii="宋体" w:hAnsi="宋体"/>
          <w:b/>
          <w:snapToGrid w:val="0"/>
          <w:color w:val="auto"/>
          <w:kern w:val="0"/>
        </w:rPr>
        <w:t xml:space="preserve">3.3  </w:t>
      </w:r>
      <w:r>
        <w:rPr>
          <w:rFonts w:hint="eastAsia" w:ascii="宋体" w:hAnsi="宋体"/>
          <w:b/>
          <w:snapToGrid w:val="0"/>
          <w:color w:val="auto"/>
          <w:kern w:val="0"/>
        </w:rPr>
        <w:t>投标有效期</w:t>
      </w:r>
      <w:bookmarkEnd w:id="196"/>
      <w:bookmarkEnd w:id="197"/>
      <w:bookmarkEnd w:id="198"/>
      <w:bookmarkEnd w:id="199"/>
      <w:bookmarkEnd w:id="200"/>
      <w:bookmarkEnd w:id="201"/>
      <w:bookmarkEnd w:id="202"/>
      <w:bookmarkEnd w:id="203"/>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jc w:val="left"/>
        <w:textAlignment w:val="auto"/>
        <w:outlineLvl w:val="9"/>
        <w:rPr>
          <w:rFonts w:ascii="宋体" w:hAnsi="宋体" w:cs="MingLiU"/>
          <w:snapToGrid w:val="0"/>
          <w:color w:val="auto"/>
          <w:kern w:val="0"/>
          <w:szCs w:val="21"/>
        </w:rPr>
      </w:pPr>
      <w:r>
        <w:rPr>
          <w:rFonts w:ascii="宋体" w:hAnsi="宋体"/>
          <w:snapToGrid w:val="0"/>
          <w:color w:val="auto"/>
          <w:kern w:val="0"/>
          <w:szCs w:val="21"/>
        </w:rPr>
        <w:t xml:space="preserve">3.3.1  </w:t>
      </w:r>
      <w:r>
        <w:rPr>
          <w:rFonts w:hint="eastAsia" w:ascii="宋体" w:hAnsi="宋体" w:cs="MingLiU"/>
          <w:snapToGrid w:val="0"/>
          <w:color w:val="auto"/>
          <w:kern w:val="0"/>
          <w:szCs w:val="21"/>
        </w:rPr>
        <w:t>在投标人须知前附表规定的投标有效期内，投标人不得要求撤销或修改其投标文件。</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outlineLvl w:val="9"/>
        <w:rPr>
          <w:rFonts w:ascii="宋体" w:hAnsi="宋体" w:cs="MingLiU"/>
          <w:snapToGrid w:val="0"/>
          <w:color w:val="auto"/>
          <w:kern w:val="0"/>
          <w:szCs w:val="21"/>
        </w:rPr>
      </w:pPr>
      <w:bookmarkStart w:id="204" w:name="_Toc386029668"/>
      <w:bookmarkStart w:id="205" w:name="_Toc287620707"/>
      <w:bookmarkStart w:id="206" w:name="_Toc18976"/>
      <w:bookmarkStart w:id="207" w:name="_Toc277082574"/>
      <w:bookmarkStart w:id="208" w:name="_Toc200513148"/>
      <w:bookmarkStart w:id="209" w:name="_Toc224103339"/>
      <w:bookmarkStart w:id="210" w:name="_Toc287607768"/>
      <w:r>
        <w:rPr>
          <w:rFonts w:ascii="宋体" w:hAnsi="宋体"/>
          <w:snapToGrid w:val="0"/>
          <w:color w:val="auto"/>
          <w:kern w:val="0"/>
          <w:szCs w:val="21"/>
        </w:rPr>
        <w:t xml:space="preserve">3.3.2  </w:t>
      </w:r>
      <w:r>
        <w:rPr>
          <w:rFonts w:hint="eastAsia" w:ascii="宋体" w:hAnsi="宋体"/>
          <w:snapToGrid w:val="0"/>
          <w:color w:val="auto"/>
          <w:kern w:val="0"/>
        </w:rPr>
        <w:t>在开标前</w:t>
      </w:r>
      <w:r>
        <w:rPr>
          <w:rFonts w:hint="eastAsia" w:ascii="宋体" w:hAnsi="宋体" w:cs="MingLiU"/>
          <w:snapToGrid w:val="0"/>
          <w:color w:val="auto"/>
          <w:kern w:val="0"/>
          <w:szCs w:val="21"/>
        </w:rPr>
        <w:t>出现特殊情况需要延长投标有效期的，</w:t>
      </w:r>
      <w:r>
        <w:rPr>
          <w:rFonts w:hint="eastAsia" w:ascii="宋体" w:hAnsi="宋体"/>
          <w:color w:val="auto"/>
        </w:rPr>
        <w:t>比选</w:t>
      </w:r>
      <w:r>
        <w:rPr>
          <w:rFonts w:hint="eastAsia" w:ascii="宋体" w:hAnsi="宋体"/>
          <w:snapToGrid w:val="0"/>
          <w:color w:val="auto"/>
          <w:kern w:val="0"/>
        </w:rPr>
        <w:t>人</w:t>
      </w:r>
      <w:r>
        <w:rPr>
          <w:rFonts w:hint="eastAsia" w:ascii="宋体" w:hAnsi="宋体"/>
          <w:color w:val="auto"/>
        </w:rPr>
        <w:t>在</w:t>
      </w:r>
      <w:r>
        <w:rPr>
          <w:rFonts w:hint="eastAsia" w:ascii="宋体" w:hAnsi="宋体" w:cs="宋体"/>
          <w:color w:val="auto"/>
          <w:kern w:val="0"/>
          <w:szCs w:val="21"/>
          <w:lang w:eastAsia="zh-CN"/>
        </w:rPr>
        <w:t>重庆安居古城网站（http://www.anjugc.cn/index.htm）</w:t>
      </w:r>
      <w:r>
        <w:rPr>
          <w:rFonts w:hint="eastAsia" w:ascii="宋体" w:hAnsi="宋体"/>
          <w:color w:val="auto"/>
        </w:rPr>
        <w:t>上</w:t>
      </w:r>
      <w:r>
        <w:rPr>
          <w:rFonts w:hint="eastAsia" w:ascii="宋体" w:hAnsi="宋体"/>
          <w:snapToGrid w:val="0"/>
          <w:color w:val="auto"/>
          <w:kern w:val="0"/>
        </w:rPr>
        <w:t>通知所有投标人延长投标有效期。</w:t>
      </w:r>
      <w:r>
        <w:rPr>
          <w:rFonts w:hint="eastAsia" w:ascii="宋体" w:hAnsi="宋体" w:cs="MingLiU"/>
          <w:snapToGrid w:val="0"/>
          <w:color w:val="auto"/>
          <w:kern w:val="0"/>
          <w:szCs w:val="21"/>
        </w:rPr>
        <w:t>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211" w:name="_Toc452058703"/>
      <w:r>
        <w:rPr>
          <w:rFonts w:ascii="宋体" w:hAnsi="宋体"/>
          <w:b/>
          <w:snapToGrid w:val="0"/>
          <w:color w:val="auto"/>
          <w:kern w:val="0"/>
        </w:rPr>
        <w:t xml:space="preserve">3.4  </w:t>
      </w:r>
      <w:r>
        <w:rPr>
          <w:rFonts w:hint="eastAsia" w:ascii="宋体" w:hAnsi="宋体"/>
          <w:b/>
          <w:snapToGrid w:val="0"/>
          <w:color w:val="auto"/>
          <w:kern w:val="0"/>
        </w:rPr>
        <w:t>投标保证金</w:t>
      </w:r>
      <w:bookmarkEnd w:id="204"/>
      <w:bookmarkEnd w:id="205"/>
      <w:bookmarkEnd w:id="206"/>
      <w:bookmarkEnd w:id="207"/>
      <w:bookmarkEnd w:id="208"/>
      <w:bookmarkEnd w:id="209"/>
      <w:bookmarkEnd w:id="210"/>
      <w:bookmarkEnd w:id="211"/>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outlineLvl w:val="9"/>
        <w:rPr>
          <w:rFonts w:ascii="宋体" w:hAnsi="宋体" w:cs="MingLiU"/>
          <w:snapToGrid w:val="0"/>
          <w:color w:val="auto"/>
          <w:kern w:val="0"/>
          <w:szCs w:val="21"/>
        </w:rPr>
      </w:pPr>
      <w:r>
        <w:rPr>
          <w:rFonts w:ascii="宋体" w:hAnsi="宋体" w:cs="MingLiU"/>
          <w:snapToGrid w:val="0"/>
          <w:color w:val="auto"/>
          <w:kern w:val="0"/>
          <w:szCs w:val="21"/>
        </w:rPr>
        <w:t xml:space="preserve">3.4.1  </w:t>
      </w:r>
      <w:r>
        <w:rPr>
          <w:rFonts w:hint="eastAsia" w:ascii="宋体" w:hAnsi="宋体" w:cs="MingLiU"/>
          <w:snapToGrid w:val="0"/>
          <w:color w:val="auto"/>
          <w:kern w:val="0"/>
          <w:szCs w:val="21"/>
        </w:rPr>
        <w:t>投标人在递交投标文件的同时，应按投标人须知前附表规定的金额、形式递交投标保证金，并作为其投标文件的组成部分。</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outlineLvl w:val="9"/>
        <w:rPr>
          <w:rFonts w:hint="eastAsia" w:ascii="宋体" w:hAnsi="宋体" w:cs="MingLiU"/>
          <w:b/>
          <w:snapToGrid w:val="0"/>
          <w:color w:val="auto"/>
          <w:kern w:val="0"/>
          <w:szCs w:val="21"/>
        </w:rPr>
      </w:pPr>
      <w:r>
        <w:rPr>
          <w:rFonts w:ascii="宋体" w:hAnsi="宋体"/>
          <w:snapToGrid w:val="0"/>
          <w:color w:val="auto"/>
          <w:kern w:val="0"/>
          <w:szCs w:val="21"/>
        </w:rPr>
        <w:t xml:space="preserve">3.4.2  </w:t>
      </w:r>
      <w:r>
        <w:rPr>
          <w:rFonts w:hint="eastAsia" w:ascii="宋体" w:hAnsi="宋体" w:cs="MingLiU"/>
          <w:snapToGrid w:val="0"/>
          <w:color w:val="auto"/>
          <w:kern w:val="0"/>
          <w:szCs w:val="21"/>
        </w:rPr>
        <w:t>投标人不按本章第</w:t>
      </w:r>
      <w:r>
        <w:rPr>
          <w:rFonts w:ascii="宋体" w:hAnsi="宋体"/>
          <w:snapToGrid w:val="0"/>
          <w:color w:val="auto"/>
          <w:kern w:val="0"/>
          <w:szCs w:val="21"/>
        </w:rPr>
        <w:t xml:space="preserve"> 3.4.1 </w:t>
      </w:r>
      <w:r>
        <w:rPr>
          <w:rFonts w:hint="eastAsia" w:ascii="宋体" w:hAnsi="宋体" w:cs="MingLiU"/>
          <w:snapToGrid w:val="0"/>
          <w:color w:val="auto"/>
          <w:kern w:val="0"/>
          <w:szCs w:val="21"/>
        </w:rPr>
        <w:t>项要求提交投标保证金的，</w:t>
      </w:r>
      <w:r>
        <w:rPr>
          <w:rFonts w:hint="eastAsia" w:ascii="黑体" w:hAnsi="宋体" w:eastAsia="黑体" w:cs="MingLiU"/>
          <w:b/>
          <w:snapToGrid w:val="0"/>
          <w:color w:val="auto"/>
          <w:kern w:val="0"/>
          <w:szCs w:val="21"/>
        </w:rPr>
        <w:t>其投标文件作否决投标处理。</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13" w:leftChars="6" w:firstLine="405" w:firstLineChars="193"/>
        <w:jc w:val="left"/>
        <w:textAlignment w:val="auto"/>
        <w:outlineLvl w:val="9"/>
        <w:rPr>
          <w:rFonts w:ascii="宋体" w:hAnsi="宋体" w:cs="MingLiU"/>
          <w:snapToGrid w:val="0"/>
          <w:color w:val="auto"/>
          <w:kern w:val="0"/>
          <w:szCs w:val="21"/>
        </w:rPr>
      </w:pPr>
      <w:r>
        <w:rPr>
          <w:rFonts w:ascii="宋体" w:hAnsi="宋体"/>
          <w:snapToGrid w:val="0"/>
          <w:color w:val="auto"/>
          <w:kern w:val="0"/>
          <w:szCs w:val="21"/>
        </w:rPr>
        <w:t xml:space="preserve">3.4.3  </w:t>
      </w:r>
      <w:r>
        <w:rPr>
          <w:rFonts w:hint="eastAsia" w:ascii="宋体" w:hAnsi="宋体" w:cs="MingLiU"/>
          <w:snapToGrid w:val="0"/>
          <w:color w:val="auto"/>
          <w:kern w:val="0"/>
          <w:szCs w:val="21"/>
        </w:rPr>
        <w:t>投标</w:t>
      </w:r>
      <w:r>
        <w:rPr>
          <w:rFonts w:hint="eastAsia" w:ascii="宋体" w:hAnsi="宋体" w:cs="MingLiU"/>
          <w:snapToGrid w:val="0"/>
          <w:color w:val="auto"/>
          <w:kern w:val="0"/>
          <w:position w:val="-2"/>
          <w:szCs w:val="21"/>
        </w:rPr>
        <w:t>保证金</w:t>
      </w:r>
      <w:r>
        <w:rPr>
          <w:rFonts w:hint="eastAsia" w:ascii="宋体" w:hAnsi="宋体" w:cs="MingLiU"/>
          <w:snapToGrid w:val="0"/>
          <w:color w:val="auto"/>
          <w:kern w:val="0"/>
          <w:szCs w:val="21"/>
        </w:rPr>
        <w:t>退还：见投标人须知前附表</w:t>
      </w:r>
      <w:r>
        <w:rPr>
          <w:rFonts w:hint="eastAsia" w:ascii="宋体" w:hAnsi="宋体" w:cs="MingLiU"/>
          <w:snapToGrid w:val="0"/>
          <w:color w:val="auto"/>
          <w:kern w:val="0"/>
          <w:position w:val="-2"/>
          <w:szCs w:val="21"/>
        </w:rPr>
        <w:t>。</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13" w:leftChars="6" w:firstLine="405" w:firstLineChars="193"/>
        <w:jc w:val="left"/>
        <w:textAlignment w:val="auto"/>
        <w:outlineLvl w:val="9"/>
        <w:rPr>
          <w:rFonts w:hint="eastAsia" w:ascii="宋体" w:hAnsi="宋体" w:cs="MingLiU"/>
          <w:b/>
          <w:bCs/>
          <w:snapToGrid w:val="0"/>
          <w:color w:val="auto"/>
          <w:kern w:val="0"/>
          <w:position w:val="-2"/>
          <w:szCs w:val="21"/>
        </w:rPr>
      </w:pPr>
      <w:r>
        <w:rPr>
          <w:rFonts w:ascii="宋体" w:hAnsi="宋体"/>
          <w:snapToGrid w:val="0"/>
          <w:color w:val="auto"/>
          <w:kern w:val="0"/>
          <w:szCs w:val="21"/>
        </w:rPr>
        <w:t xml:space="preserve">3.4.4  </w:t>
      </w:r>
      <w:r>
        <w:rPr>
          <w:rFonts w:hint="eastAsia" w:ascii="宋体" w:hAnsi="宋体" w:cs="MingLiU"/>
          <w:snapToGrid w:val="0"/>
          <w:color w:val="auto"/>
          <w:kern w:val="0"/>
          <w:szCs w:val="21"/>
        </w:rPr>
        <w:t>有下列情形之</w:t>
      </w:r>
      <w:r>
        <w:rPr>
          <w:rFonts w:hint="eastAsia" w:ascii="宋体" w:hAnsi="宋体" w:cs="MingLiU"/>
          <w:snapToGrid w:val="0"/>
          <w:color w:val="auto"/>
          <w:kern w:val="0"/>
          <w:position w:val="-2"/>
          <w:szCs w:val="21"/>
        </w:rPr>
        <w:t>一的，</w:t>
      </w:r>
      <w:r>
        <w:rPr>
          <w:rFonts w:hint="eastAsia" w:ascii="宋体" w:hAnsi="宋体" w:cs="MingLiU"/>
          <w:b/>
          <w:bCs/>
          <w:snapToGrid w:val="0"/>
          <w:color w:val="auto"/>
          <w:kern w:val="0"/>
          <w:position w:val="-2"/>
          <w:szCs w:val="21"/>
        </w:rPr>
        <w:t>取消其中标资格，投标保证金将不予退还：</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13" w:leftChars="6" w:firstLine="405" w:firstLineChars="193"/>
        <w:jc w:val="left"/>
        <w:textAlignment w:val="auto"/>
        <w:outlineLvl w:val="9"/>
        <w:rPr>
          <w:rFonts w:hint="eastAsia" w:ascii="宋体" w:hAnsi="宋体" w:cs="MingLiU"/>
          <w:snapToGrid w:val="0"/>
          <w:color w:val="auto"/>
          <w:kern w:val="0"/>
          <w:position w:val="-2"/>
          <w:szCs w:val="21"/>
        </w:rPr>
      </w:pPr>
      <w:r>
        <w:rPr>
          <w:rFonts w:hint="eastAsia" w:ascii="宋体" w:hAnsi="宋体" w:cs="MingLiU"/>
          <w:snapToGrid w:val="0"/>
          <w:color w:val="auto"/>
          <w:kern w:val="0"/>
          <w:position w:val="-2"/>
          <w:szCs w:val="21"/>
        </w:rPr>
        <w:t>（1）投标截止后投标人撤销投标文件的；</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13" w:leftChars="6" w:firstLine="405" w:firstLineChars="193"/>
        <w:jc w:val="left"/>
        <w:textAlignment w:val="auto"/>
        <w:outlineLvl w:val="9"/>
        <w:rPr>
          <w:rFonts w:hint="eastAsia" w:ascii="宋体" w:hAnsi="宋体" w:cs="MingLiU"/>
          <w:snapToGrid w:val="0"/>
          <w:color w:val="auto"/>
          <w:kern w:val="0"/>
          <w:position w:val="-2"/>
          <w:szCs w:val="21"/>
        </w:rPr>
      </w:pPr>
      <w:r>
        <w:rPr>
          <w:rFonts w:hint="eastAsia" w:ascii="宋体" w:hAnsi="宋体" w:cs="MingLiU"/>
          <w:snapToGrid w:val="0"/>
          <w:color w:val="auto"/>
          <w:kern w:val="0"/>
          <w:position w:val="-2"/>
          <w:szCs w:val="21"/>
        </w:rPr>
        <w:t>（2）中标人无正当理由不与招标人签订合同，在签订合同时向</w:t>
      </w:r>
      <w:r>
        <w:rPr>
          <w:rFonts w:hint="eastAsia" w:ascii="宋体" w:hAnsi="宋体"/>
          <w:color w:val="auto"/>
        </w:rPr>
        <w:t>比选</w:t>
      </w:r>
      <w:r>
        <w:rPr>
          <w:rFonts w:hint="eastAsia" w:ascii="宋体" w:hAnsi="宋体" w:cs="MingLiU"/>
          <w:snapToGrid w:val="0"/>
          <w:color w:val="auto"/>
          <w:kern w:val="0"/>
          <w:position w:val="-2"/>
          <w:szCs w:val="21"/>
        </w:rPr>
        <w:t>人提出附加条件，或者不按</w:t>
      </w:r>
      <w:r>
        <w:rPr>
          <w:rFonts w:hint="eastAsia" w:ascii="宋体" w:hAnsi="宋体"/>
          <w:color w:val="auto"/>
        </w:rPr>
        <w:t>比选</w:t>
      </w:r>
      <w:r>
        <w:rPr>
          <w:rFonts w:hint="eastAsia" w:ascii="宋体" w:hAnsi="宋体" w:cs="MingLiU"/>
          <w:snapToGrid w:val="0"/>
          <w:color w:val="auto"/>
          <w:kern w:val="0"/>
          <w:position w:val="-2"/>
          <w:szCs w:val="21"/>
        </w:rPr>
        <w:t>文件要求提交履约保证金的；</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13" w:leftChars="6" w:firstLine="405" w:firstLineChars="193"/>
        <w:jc w:val="left"/>
        <w:textAlignment w:val="auto"/>
        <w:outlineLvl w:val="9"/>
        <w:rPr>
          <w:rFonts w:hint="eastAsia" w:ascii="宋体" w:hAnsi="宋体" w:cs="MingLiU"/>
          <w:snapToGrid w:val="0"/>
          <w:color w:val="auto"/>
          <w:kern w:val="0"/>
          <w:position w:val="-2"/>
          <w:szCs w:val="21"/>
        </w:rPr>
      </w:pPr>
      <w:r>
        <w:rPr>
          <w:rFonts w:hint="eastAsia" w:ascii="宋体" w:hAnsi="宋体" w:cs="MingLiU"/>
          <w:snapToGrid w:val="0"/>
          <w:color w:val="auto"/>
          <w:kern w:val="0"/>
          <w:position w:val="-2"/>
          <w:szCs w:val="21"/>
        </w:rPr>
        <w:t>（3）相关法律法规规定的其他情形。</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hint="eastAsia" w:ascii="宋体" w:hAnsi="宋体" w:cs="MingLiU"/>
          <w:b/>
          <w:bCs/>
          <w:snapToGrid w:val="0"/>
          <w:color w:val="auto"/>
          <w:kern w:val="0"/>
          <w:position w:val="-2"/>
          <w:szCs w:val="21"/>
        </w:rPr>
      </w:pPr>
      <w:bookmarkStart w:id="212" w:name="_Toc277082576"/>
      <w:bookmarkStart w:id="213" w:name="_Toc452058704"/>
      <w:bookmarkStart w:id="214" w:name="_Toc224103341"/>
      <w:bookmarkStart w:id="215" w:name="_Toc287607770"/>
      <w:bookmarkStart w:id="216" w:name="_Toc386029669"/>
      <w:bookmarkStart w:id="217" w:name="_Toc200513150"/>
      <w:bookmarkStart w:id="218" w:name="_Toc31907"/>
      <w:bookmarkStart w:id="219" w:name="_Toc287620709"/>
      <w:r>
        <w:rPr>
          <w:rFonts w:ascii="宋体" w:hAnsi="宋体"/>
          <w:b/>
          <w:snapToGrid w:val="0"/>
          <w:color w:val="auto"/>
          <w:kern w:val="0"/>
        </w:rPr>
        <w:t xml:space="preserve">3.5  </w:t>
      </w:r>
      <w:r>
        <w:rPr>
          <w:rFonts w:hint="eastAsia" w:ascii="宋体" w:hAnsi="宋体"/>
          <w:b/>
          <w:snapToGrid w:val="0"/>
          <w:color w:val="auto"/>
          <w:kern w:val="0"/>
        </w:rPr>
        <w:t>资格审查资料</w:t>
      </w:r>
      <w:bookmarkEnd w:id="212"/>
      <w:bookmarkEnd w:id="213"/>
      <w:bookmarkEnd w:id="214"/>
      <w:bookmarkEnd w:id="215"/>
      <w:bookmarkEnd w:id="216"/>
      <w:bookmarkEnd w:id="217"/>
      <w:bookmarkEnd w:id="218"/>
      <w:bookmarkEnd w:id="219"/>
    </w:p>
    <w:p>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MingLiU"/>
          <w:snapToGrid w:val="0"/>
          <w:color w:val="auto"/>
          <w:kern w:val="0"/>
          <w:szCs w:val="21"/>
        </w:rPr>
      </w:pPr>
      <w:r>
        <w:rPr>
          <w:rFonts w:hint="eastAsia" w:ascii="宋体" w:hAnsi="宋体" w:cs="MingLiU"/>
          <w:snapToGrid w:val="0"/>
          <w:color w:val="auto"/>
          <w:kern w:val="0"/>
          <w:szCs w:val="21"/>
        </w:rPr>
        <w:t xml:space="preserve">3.5.1“投标人基本情况表” 附有效的营业执照复印件、资质证书副本复印件 、安全生产许可证复印件、“三类人员”安全生产考核合格证书等材料的复印件，重庆市外建筑施工企业还需提供本单位和所配备的管理人员已纳入市城乡建委“市外建筑施工企业入渝信息库”的有效证明。 </w:t>
      </w:r>
    </w:p>
    <w:p>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MingLiU"/>
          <w:snapToGrid w:val="0"/>
          <w:color w:val="auto"/>
          <w:kern w:val="0"/>
          <w:szCs w:val="21"/>
        </w:rPr>
      </w:pPr>
      <w:r>
        <w:rPr>
          <w:rFonts w:hint="eastAsia" w:ascii="宋体" w:hAnsi="宋体" w:cs="MingLiU"/>
          <w:snapToGrid w:val="0"/>
          <w:color w:val="auto"/>
          <w:kern w:val="0"/>
          <w:szCs w:val="21"/>
        </w:rPr>
        <w:t>3.5.2“投标截止日投标资格情况”由投标人自行承诺，具体要求见投标人须知前附表。</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jc w:val="left"/>
        <w:textAlignment w:val="auto"/>
        <w:outlineLvl w:val="9"/>
        <w:rPr>
          <w:rFonts w:hint="eastAsia" w:ascii="宋体" w:hAnsi="宋体" w:cs="MingLiU"/>
          <w:snapToGrid w:val="0"/>
          <w:color w:val="auto"/>
          <w:kern w:val="0"/>
          <w:szCs w:val="21"/>
        </w:rPr>
      </w:pPr>
      <w:bookmarkStart w:id="220" w:name="_Toc29514"/>
      <w:bookmarkStart w:id="221" w:name="_Toc200513151"/>
      <w:bookmarkStart w:id="222" w:name="_Toc287607771"/>
      <w:bookmarkStart w:id="223" w:name="_Toc277082577"/>
      <w:bookmarkStart w:id="224" w:name="_Toc386029670"/>
      <w:bookmarkStart w:id="225" w:name="_Toc224103342"/>
      <w:bookmarkStart w:id="226" w:name="_Toc287620710"/>
      <w:r>
        <w:rPr>
          <w:rFonts w:hint="eastAsia" w:ascii="宋体" w:hAnsi="宋体" w:cs="MingLiU"/>
          <w:snapToGrid w:val="0"/>
          <w:color w:val="auto"/>
          <w:kern w:val="0"/>
          <w:szCs w:val="21"/>
        </w:rPr>
        <w:t>3.5.3 项目经理资格要求：见投标人须知前附表。</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jc w:val="left"/>
        <w:textAlignment w:val="auto"/>
        <w:outlineLvl w:val="9"/>
        <w:rPr>
          <w:rFonts w:hint="eastAsia" w:ascii="宋体" w:hAnsi="宋体" w:cs="MingLiU"/>
          <w:snapToGrid w:val="0"/>
          <w:color w:val="auto"/>
          <w:kern w:val="0"/>
          <w:szCs w:val="21"/>
        </w:rPr>
      </w:pPr>
      <w:r>
        <w:rPr>
          <w:rFonts w:hint="eastAsia" w:ascii="宋体" w:hAnsi="宋体" w:cs="MingLiU"/>
          <w:snapToGrid w:val="0"/>
          <w:color w:val="auto"/>
          <w:kern w:val="0"/>
          <w:szCs w:val="21"/>
        </w:rPr>
        <w:t>3.5.4 其他要求：见投标人须知前附表。</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227" w:name="_Toc452058705"/>
      <w:r>
        <w:rPr>
          <w:rFonts w:ascii="宋体" w:hAnsi="宋体"/>
          <w:b/>
          <w:snapToGrid w:val="0"/>
          <w:color w:val="auto"/>
          <w:kern w:val="0"/>
        </w:rPr>
        <w:t xml:space="preserve">3.6  </w:t>
      </w:r>
      <w:r>
        <w:rPr>
          <w:rFonts w:hint="eastAsia" w:ascii="宋体" w:hAnsi="宋体"/>
          <w:b/>
          <w:snapToGrid w:val="0"/>
          <w:color w:val="auto"/>
          <w:kern w:val="0"/>
        </w:rPr>
        <w:t>备选投标方案</w:t>
      </w:r>
      <w:bookmarkEnd w:id="220"/>
      <w:bookmarkEnd w:id="221"/>
      <w:bookmarkEnd w:id="222"/>
      <w:bookmarkEnd w:id="223"/>
      <w:bookmarkEnd w:id="224"/>
      <w:bookmarkEnd w:id="225"/>
      <w:bookmarkEnd w:id="226"/>
      <w:bookmarkEnd w:id="227"/>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jc w:val="left"/>
        <w:textAlignment w:val="auto"/>
        <w:outlineLvl w:val="9"/>
        <w:rPr>
          <w:rFonts w:hint="eastAsia" w:ascii="宋体" w:hAnsi="宋体" w:cs="MingLiU"/>
          <w:snapToGrid w:val="0"/>
          <w:color w:val="auto"/>
          <w:kern w:val="0"/>
          <w:szCs w:val="21"/>
        </w:rPr>
      </w:pPr>
      <w:bookmarkStart w:id="228" w:name="_Toc287607772"/>
      <w:bookmarkStart w:id="229" w:name="_Toc386029671"/>
      <w:bookmarkStart w:id="230" w:name="_Toc200513152"/>
      <w:bookmarkStart w:id="231" w:name="_Toc224103343"/>
      <w:bookmarkStart w:id="232" w:name="_Toc8755"/>
      <w:bookmarkStart w:id="233" w:name="_Toc277082578"/>
      <w:bookmarkStart w:id="234" w:name="_Toc287620711"/>
      <w:r>
        <w:rPr>
          <w:rFonts w:hint="eastAsia" w:ascii="宋体" w:hAnsi="宋体" w:cs="MingLiU"/>
          <w:snapToGrid w:val="0"/>
          <w:color w:val="auto"/>
          <w:kern w:val="0"/>
          <w:szCs w:val="21"/>
        </w:rPr>
        <w:t>投标人不得递交备选投标方案。</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235" w:name="_Toc452058706"/>
      <w:r>
        <w:rPr>
          <w:rFonts w:ascii="宋体" w:hAnsi="宋体"/>
          <w:b/>
          <w:snapToGrid w:val="0"/>
          <w:color w:val="auto"/>
          <w:kern w:val="0"/>
        </w:rPr>
        <w:t>3</w:t>
      </w:r>
      <w:r>
        <w:rPr>
          <w:rFonts w:hint="eastAsia" w:ascii="宋体" w:hAnsi="宋体"/>
          <w:b/>
          <w:snapToGrid w:val="0"/>
          <w:color w:val="auto"/>
          <w:kern w:val="0"/>
        </w:rPr>
        <w:t>.</w:t>
      </w:r>
      <w:r>
        <w:rPr>
          <w:rFonts w:ascii="宋体" w:hAnsi="宋体"/>
          <w:b/>
          <w:snapToGrid w:val="0"/>
          <w:color w:val="auto"/>
          <w:kern w:val="0"/>
        </w:rPr>
        <w:t xml:space="preserve">7  </w:t>
      </w:r>
      <w:r>
        <w:rPr>
          <w:rFonts w:hint="eastAsia" w:ascii="宋体" w:hAnsi="宋体"/>
          <w:b/>
          <w:snapToGrid w:val="0"/>
          <w:color w:val="auto"/>
          <w:kern w:val="0"/>
        </w:rPr>
        <w:t>投标文件的编制</w:t>
      </w:r>
      <w:bookmarkEnd w:id="228"/>
      <w:bookmarkEnd w:id="229"/>
      <w:bookmarkEnd w:id="230"/>
      <w:bookmarkEnd w:id="231"/>
      <w:bookmarkEnd w:id="232"/>
      <w:bookmarkEnd w:id="233"/>
      <w:bookmarkEnd w:id="234"/>
      <w:bookmarkEnd w:id="235"/>
    </w:p>
    <w:p>
      <w:pPr>
        <w:keepNext w:val="0"/>
        <w:keepLines w:val="0"/>
        <w:pageBreakBefore w:val="0"/>
        <w:widowControl w:val="0"/>
        <w:kinsoku/>
        <w:wordWrap/>
        <w:overflowPunct/>
        <w:topLinePunct w:val="0"/>
        <w:bidi w:val="0"/>
        <w:spacing w:line="380" w:lineRule="exact"/>
        <w:ind w:firstLine="420" w:firstLineChars="200"/>
        <w:textAlignment w:val="auto"/>
        <w:outlineLvl w:val="9"/>
        <w:rPr>
          <w:rFonts w:ascii="宋体" w:hAnsi="宋体" w:cs="MingLiU"/>
          <w:snapToGrid w:val="0"/>
          <w:color w:val="auto"/>
          <w:kern w:val="0"/>
          <w:szCs w:val="21"/>
        </w:rPr>
      </w:pPr>
      <w:bookmarkStart w:id="236" w:name="_Toc287607773"/>
      <w:bookmarkStart w:id="237" w:name="_Toc6920"/>
      <w:bookmarkStart w:id="238" w:name="_Toc386029672"/>
      <w:bookmarkStart w:id="239" w:name="_Toc200513153"/>
      <w:bookmarkStart w:id="240" w:name="_Toc224103344"/>
      <w:bookmarkStart w:id="241" w:name="_Toc25740"/>
      <w:bookmarkStart w:id="242" w:name="_Toc277082579"/>
      <w:r>
        <w:rPr>
          <w:rFonts w:hint="eastAsia" w:ascii="宋体" w:hAnsi="宋体" w:cs="MingLiU"/>
          <w:snapToGrid w:val="0"/>
          <w:color w:val="auto"/>
          <w:kern w:val="0"/>
          <w:szCs w:val="21"/>
        </w:rPr>
        <w:t>3.7.1  投标文件应按第八章“投标文件格式”进行编写，如有必要，可以增加附页，作为投标文件的组成部分。其中，投标函附录在满足比选文件实质性要求的基础上，可以提出比竞争性比选文件要求更有利于比选人的承诺。</w:t>
      </w:r>
    </w:p>
    <w:p>
      <w:pPr>
        <w:keepNext w:val="0"/>
        <w:keepLines w:val="0"/>
        <w:pageBreakBefore w:val="0"/>
        <w:widowControl w:val="0"/>
        <w:kinsoku/>
        <w:wordWrap/>
        <w:overflowPunct/>
        <w:topLinePunct w:val="0"/>
        <w:bidi w:val="0"/>
        <w:spacing w:line="380" w:lineRule="exact"/>
        <w:ind w:firstLine="420" w:firstLineChars="200"/>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3.7.2  投标文件应当对比选文件有关工期、投标有效期、质量要求、技术标准和要求、招标范围等实质性内容</w:t>
      </w:r>
      <w:r>
        <w:rPr>
          <w:rFonts w:hint="eastAsia" w:ascii="宋体" w:hAnsi="宋体" w:cs="MingLiU"/>
          <w:snapToGrid w:val="0"/>
          <w:color w:val="auto"/>
          <w:kern w:val="0"/>
          <w:szCs w:val="21"/>
          <w:lang w:eastAsia="zh-CN"/>
        </w:rPr>
        <w:t>作出</w:t>
      </w:r>
      <w:r>
        <w:rPr>
          <w:rFonts w:hint="eastAsia" w:ascii="宋体" w:hAnsi="宋体" w:cs="MingLiU"/>
          <w:snapToGrid w:val="0"/>
          <w:color w:val="auto"/>
          <w:kern w:val="0"/>
          <w:szCs w:val="21"/>
        </w:rPr>
        <w:t>响应。</w:t>
      </w:r>
    </w:p>
    <w:p>
      <w:pPr>
        <w:keepNext w:val="0"/>
        <w:keepLines w:val="0"/>
        <w:pageBreakBefore w:val="0"/>
        <w:widowControl w:val="0"/>
        <w:kinsoku/>
        <w:wordWrap/>
        <w:overflowPunct/>
        <w:topLinePunct w:val="0"/>
        <w:bidi w:val="0"/>
        <w:spacing w:line="380" w:lineRule="exact"/>
        <w:ind w:firstLine="420" w:firstLineChars="200"/>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3.7.3  投标文件应用不褪色的材料书写或打印，并由投标人的法定代表人或其委托代理人签字、盖单位公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pPr>
        <w:keepNext w:val="0"/>
        <w:keepLines w:val="0"/>
        <w:pageBreakBefore w:val="0"/>
        <w:widowControl w:val="0"/>
        <w:kinsoku/>
        <w:wordWrap/>
        <w:overflowPunct/>
        <w:topLinePunct w:val="0"/>
        <w:bidi w:val="0"/>
        <w:spacing w:line="380" w:lineRule="exact"/>
        <w:ind w:firstLine="420" w:firstLineChars="200"/>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3.7.4  投标文件正本一份，副本份数见投标人须知前附表。正本和副本的封面上应清楚地标记“正本”或“副本”的字样。正本和副本封面均须加盖单位公章（鲜章）。当副本和正本不一致时，以正本为准。</w:t>
      </w:r>
    </w:p>
    <w:p>
      <w:pPr>
        <w:keepNext w:val="0"/>
        <w:keepLines w:val="0"/>
        <w:pageBreakBefore w:val="0"/>
        <w:widowControl w:val="0"/>
        <w:kinsoku/>
        <w:wordWrap/>
        <w:overflowPunct/>
        <w:topLinePunct w:val="0"/>
        <w:bidi w:val="0"/>
        <w:spacing w:line="380" w:lineRule="exact"/>
        <w:ind w:firstLine="420" w:firstLineChars="200"/>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3.7.5  投标文件的正本与副本应分别装订成册，并编制目录，具体装订要求见投标人须知前附表规定。</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243" w:name="_Toc452058707"/>
      <w:r>
        <w:rPr>
          <w:rFonts w:ascii="宋体" w:hAnsi="宋体"/>
          <w:b/>
          <w:snapToGrid w:val="0"/>
          <w:color w:val="auto"/>
          <w:kern w:val="0"/>
        </w:rPr>
        <w:t xml:space="preserve">4.  </w:t>
      </w:r>
      <w:r>
        <w:rPr>
          <w:rFonts w:hint="eastAsia" w:ascii="宋体" w:hAnsi="宋体"/>
          <w:b/>
          <w:snapToGrid w:val="0"/>
          <w:color w:val="auto"/>
          <w:kern w:val="0"/>
        </w:rPr>
        <w:t>投标</w:t>
      </w:r>
      <w:bookmarkEnd w:id="236"/>
      <w:bookmarkEnd w:id="237"/>
      <w:bookmarkEnd w:id="238"/>
      <w:bookmarkEnd w:id="239"/>
      <w:bookmarkEnd w:id="240"/>
      <w:bookmarkEnd w:id="241"/>
      <w:bookmarkEnd w:id="242"/>
      <w:bookmarkEnd w:id="243"/>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244" w:name="_Toc277082580"/>
      <w:bookmarkStart w:id="245" w:name="_Toc287620713"/>
      <w:bookmarkStart w:id="246" w:name="_Toc287607774"/>
      <w:bookmarkStart w:id="247" w:name="_Toc452058708"/>
      <w:bookmarkStart w:id="248" w:name="_Toc22832"/>
      <w:bookmarkStart w:id="249" w:name="_Toc200513154"/>
      <w:bookmarkStart w:id="250" w:name="_Toc386029673"/>
      <w:bookmarkStart w:id="251" w:name="_Toc224103345"/>
      <w:r>
        <w:rPr>
          <w:rFonts w:ascii="宋体" w:hAnsi="宋体"/>
          <w:b/>
          <w:snapToGrid w:val="0"/>
          <w:color w:val="auto"/>
          <w:kern w:val="0"/>
        </w:rPr>
        <w:t xml:space="preserve">4.1  </w:t>
      </w:r>
      <w:r>
        <w:rPr>
          <w:rFonts w:hint="eastAsia" w:ascii="宋体" w:hAnsi="宋体"/>
          <w:b/>
          <w:snapToGrid w:val="0"/>
          <w:color w:val="auto"/>
          <w:kern w:val="0"/>
        </w:rPr>
        <w:t>投标文件的密封和标记</w:t>
      </w:r>
      <w:bookmarkEnd w:id="244"/>
      <w:bookmarkEnd w:id="245"/>
      <w:bookmarkEnd w:id="246"/>
      <w:bookmarkEnd w:id="247"/>
      <w:bookmarkEnd w:id="248"/>
      <w:bookmarkEnd w:id="249"/>
      <w:bookmarkEnd w:id="250"/>
      <w:bookmarkEnd w:id="251"/>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hint="eastAsia" w:ascii="宋体" w:hAnsi="宋体" w:cs="MingLiU"/>
          <w:snapToGrid w:val="0"/>
          <w:color w:val="auto"/>
          <w:kern w:val="0"/>
          <w:szCs w:val="21"/>
        </w:rPr>
      </w:pPr>
      <w:bookmarkStart w:id="252" w:name="_Toc200513155"/>
      <w:r>
        <w:rPr>
          <w:rFonts w:hint="eastAsia" w:ascii="宋体" w:hAnsi="宋体" w:cs="MingLiU"/>
          <w:snapToGrid w:val="0"/>
          <w:color w:val="auto"/>
          <w:kern w:val="0"/>
          <w:szCs w:val="21"/>
        </w:rPr>
        <w:t>4.1.1  投标文件的正本与副本密封见投标人须知前附表。</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hint="eastAsia" w:ascii="宋体" w:hAnsi="宋体" w:cs="MingLiU"/>
          <w:snapToGrid w:val="0"/>
          <w:color w:val="auto"/>
          <w:kern w:val="0"/>
          <w:szCs w:val="21"/>
        </w:rPr>
      </w:pPr>
      <w:r>
        <w:rPr>
          <w:rFonts w:hint="eastAsia" w:ascii="宋体" w:hAnsi="宋体" w:cs="MingLiU"/>
          <w:snapToGrid w:val="0"/>
          <w:color w:val="auto"/>
          <w:kern w:val="0"/>
          <w:szCs w:val="21"/>
        </w:rPr>
        <w:t>4.1.2  投标文件的封套上应写明的内容见投标人须知前附表。</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13" w:leftChars="6" w:firstLine="344" w:firstLineChars="164"/>
        <w:jc w:val="left"/>
        <w:textAlignment w:val="auto"/>
        <w:outlineLvl w:val="9"/>
        <w:rPr>
          <w:rFonts w:hint="eastAsia" w:ascii="宋体" w:hAnsi="宋体" w:cs="MingLiU"/>
          <w:snapToGrid w:val="0"/>
          <w:color w:val="auto"/>
          <w:kern w:val="0"/>
          <w:szCs w:val="21"/>
        </w:rPr>
      </w:pPr>
      <w:r>
        <w:rPr>
          <w:rFonts w:ascii="宋体" w:hAnsi="宋体" w:cs="MingLiU"/>
          <w:snapToGrid w:val="0"/>
          <w:color w:val="auto"/>
          <w:kern w:val="0"/>
          <w:szCs w:val="21"/>
        </w:rPr>
        <w:t xml:space="preserve">4.1.3  </w:t>
      </w:r>
      <w:r>
        <w:rPr>
          <w:rFonts w:hint="eastAsia" w:ascii="宋体" w:hAnsi="宋体" w:cs="MingLiU"/>
          <w:snapToGrid w:val="0"/>
          <w:color w:val="auto"/>
          <w:kern w:val="0"/>
          <w:szCs w:val="21"/>
        </w:rPr>
        <w:t>未按本章第</w:t>
      </w:r>
      <w:r>
        <w:rPr>
          <w:rFonts w:ascii="宋体" w:hAnsi="宋体" w:cs="MingLiU"/>
          <w:snapToGrid w:val="0"/>
          <w:color w:val="auto"/>
          <w:kern w:val="0"/>
          <w:szCs w:val="21"/>
        </w:rPr>
        <w:t xml:space="preserve"> 4.1.1 </w:t>
      </w:r>
      <w:r>
        <w:rPr>
          <w:rFonts w:hint="eastAsia" w:ascii="宋体" w:hAnsi="宋体" w:cs="MingLiU"/>
          <w:snapToGrid w:val="0"/>
          <w:color w:val="auto"/>
          <w:kern w:val="0"/>
          <w:szCs w:val="21"/>
        </w:rPr>
        <w:t>项或第</w:t>
      </w:r>
      <w:r>
        <w:rPr>
          <w:rFonts w:ascii="宋体" w:hAnsi="宋体" w:cs="MingLiU"/>
          <w:snapToGrid w:val="0"/>
          <w:color w:val="auto"/>
          <w:kern w:val="0"/>
          <w:szCs w:val="21"/>
        </w:rPr>
        <w:t xml:space="preserve"> 4.1.2 </w:t>
      </w:r>
      <w:r>
        <w:rPr>
          <w:rFonts w:hint="eastAsia" w:ascii="宋体" w:hAnsi="宋体" w:cs="MingLiU"/>
          <w:snapToGrid w:val="0"/>
          <w:color w:val="auto"/>
          <w:kern w:val="0"/>
          <w:szCs w:val="21"/>
        </w:rPr>
        <w:t>项要求密封和加写标记的投标文件，比选人不予受理。</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253" w:name="_Toc277082581"/>
      <w:bookmarkStart w:id="254" w:name="_Toc386029674"/>
      <w:bookmarkStart w:id="255" w:name="_Toc452058709"/>
      <w:bookmarkStart w:id="256" w:name="_Toc287620714"/>
      <w:bookmarkStart w:id="257" w:name="_Toc3430"/>
      <w:bookmarkStart w:id="258" w:name="_Toc224103346"/>
      <w:bookmarkStart w:id="259" w:name="_Toc287607775"/>
      <w:r>
        <w:rPr>
          <w:rFonts w:ascii="宋体" w:hAnsi="宋体"/>
          <w:b/>
          <w:snapToGrid w:val="0"/>
          <w:color w:val="auto"/>
          <w:kern w:val="0"/>
        </w:rPr>
        <w:t xml:space="preserve">4.2  </w:t>
      </w:r>
      <w:r>
        <w:rPr>
          <w:rFonts w:hint="eastAsia" w:ascii="宋体" w:hAnsi="宋体"/>
          <w:b/>
          <w:snapToGrid w:val="0"/>
          <w:color w:val="auto"/>
          <w:kern w:val="0"/>
        </w:rPr>
        <w:t>投标文件的递交</w:t>
      </w:r>
      <w:bookmarkEnd w:id="252"/>
      <w:bookmarkEnd w:id="253"/>
      <w:bookmarkEnd w:id="254"/>
      <w:bookmarkEnd w:id="255"/>
      <w:bookmarkEnd w:id="256"/>
      <w:bookmarkEnd w:id="257"/>
      <w:bookmarkEnd w:id="258"/>
      <w:bookmarkEnd w:id="259"/>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ascii="宋体" w:hAnsi="宋体"/>
          <w:snapToGrid w:val="0"/>
          <w:color w:val="auto"/>
          <w:kern w:val="0"/>
          <w:szCs w:val="21"/>
        </w:rPr>
        <w:t xml:space="preserve">4.2.1  </w:t>
      </w:r>
      <w:r>
        <w:rPr>
          <w:rFonts w:hint="eastAsia" w:ascii="宋体" w:hAnsi="宋体" w:cs="MingLiU"/>
          <w:snapToGrid w:val="0"/>
          <w:color w:val="auto"/>
          <w:kern w:val="0"/>
          <w:szCs w:val="21"/>
        </w:rPr>
        <w:t>投标人应在本章第</w:t>
      </w:r>
      <w:r>
        <w:rPr>
          <w:rFonts w:ascii="宋体" w:hAnsi="宋体"/>
          <w:snapToGrid w:val="0"/>
          <w:color w:val="auto"/>
          <w:kern w:val="0"/>
          <w:szCs w:val="21"/>
        </w:rPr>
        <w:t xml:space="preserve"> 2.2.2 </w:t>
      </w:r>
      <w:r>
        <w:rPr>
          <w:rFonts w:hint="eastAsia" w:ascii="宋体" w:hAnsi="宋体" w:cs="MingLiU"/>
          <w:snapToGrid w:val="0"/>
          <w:color w:val="auto"/>
          <w:kern w:val="0"/>
          <w:szCs w:val="21"/>
        </w:rPr>
        <w:t>项规定的投标截止时间前递交投标文件。</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ascii="宋体" w:hAnsi="宋体"/>
          <w:snapToGrid w:val="0"/>
          <w:color w:val="auto"/>
          <w:kern w:val="0"/>
          <w:szCs w:val="21"/>
        </w:rPr>
        <w:t xml:space="preserve">4.2.2  </w:t>
      </w:r>
      <w:r>
        <w:rPr>
          <w:rFonts w:hint="eastAsia" w:ascii="宋体" w:hAnsi="宋体" w:cs="MingLiU"/>
          <w:snapToGrid w:val="0"/>
          <w:color w:val="auto"/>
          <w:kern w:val="0"/>
          <w:szCs w:val="21"/>
        </w:rPr>
        <w:t>投标人递交投标文件的地点：见投标人须知前附表。</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ascii="宋体" w:hAnsi="宋体"/>
          <w:snapToGrid w:val="0"/>
          <w:color w:val="auto"/>
          <w:kern w:val="0"/>
          <w:szCs w:val="21"/>
        </w:rPr>
        <w:t xml:space="preserve">4.2.3  </w:t>
      </w:r>
      <w:r>
        <w:rPr>
          <w:rFonts w:hint="eastAsia" w:ascii="宋体" w:hAnsi="宋体" w:cs="MingLiU"/>
          <w:snapToGrid w:val="0"/>
          <w:color w:val="auto"/>
          <w:kern w:val="0"/>
          <w:szCs w:val="21"/>
        </w:rPr>
        <w:t>除投标人须知前附表另有规定外，投标人所递交的投标文件不予退还。</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ascii="宋体" w:hAnsi="宋体"/>
          <w:snapToGrid w:val="0"/>
          <w:color w:val="auto"/>
          <w:kern w:val="0"/>
          <w:szCs w:val="21"/>
        </w:rPr>
        <w:t xml:space="preserve">4.2.4  </w:t>
      </w:r>
      <w:r>
        <w:rPr>
          <w:rFonts w:hint="eastAsia" w:ascii="宋体" w:hAnsi="宋体" w:cs="MingLiU"/>
          <w:snapToGrid w:val="0"/>
          <w:color w:val="auto"/>
          <w:kern w:val="0"/>
          <w:szCs w:val="21"/>
        </w:rPr>
        <w:t>招标人收到投标文件后，向投标人出具签收凭证。</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ascii="宋体" w:hAnsi="宋体"/>
          <w:snapToGrid w:val="0"/>
          <w:color w:val="auto"/>
          <w:kern w:val="0"/>
          <w:szCs w:val="21"/>
        </w:rPr>
        <w:t xml:space="preserve">4.2.5  </w:t>
      </w:r>
      <w:r>
        <w:rPr>
          <w:rFonts w:hint="eastAsia" w:ascii="宋体" w:hAnsi="宋体" w:cs="MingLiU"/>
          <w:snapToGrid w:val="0"/>
          <w:color w:val="auto"/>
          <w:kern w:val="0"/>
          <w:szCs w:val="21"/>
        </w:rPr>
        <w:t>逾期送达的或者未送达指定地点的投标文件，比选人不予受理。</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260" w:name="_Toc10962"/>
      <w:bookmarkStart w:id="261" w:name="_Toc200513156"/>
      <w:bookmarkStart w:id="262" w:name="_Toc452058710"/>
      <w:bookmarkStart w:id="263" w:name="_Toc386029675"/>
      <w:bookmarkStart w:id="264" w:name="_Toc287607776"/>
      <w:bookmarkStart w:id="265" w:name="_Toc224103347"/>
      <w:bookmarkStart w:id="266" w:name="_Toc287620715"/>
      <w:bookmarkStart w:id="267" w:name="_Toc277082582"/>
      <w:r>
        <w:rPr>
          <w:rFonts w:ascii="宋体" w:hAnsi="宋体"/>
          <w:b/>
          <w:snapToGrid w:val="0"/>
          <w:color w:val="auto"/>
          <w:kern w:val="0"/>
        </w:rPr>
        <w:t xml:space="preserve">4.3  </w:t>
      </w:r>
      <w:r>
        <w:rPr>
          <w:rFonts w:hint="eastAsia" w:ascii="宋体" w:hAnsi="宋体"/>
          <w:b/>
          <w:snapToGrid w:val="0"/>
          <w:color w:val="auto"/>
          <w:kern w:val="0"/>
        </w:rPr>
        <w:t>投标文件的修改与撤回</w:t>
      </w:r>
      <w:bookmarkEnd w:id="260"/>
      <w:bookmarkEnd w:id="261"/>
      <w:bookmarkEnd w:id="262"/>
      <w:bookmarkEnd w:id="263"/>
      <w:bookmarkEnd w:id="264"/>
      <w:bookmarkEnd w:id="265"/>
      <w:bookmarkEnd w:id="266"/>
      <w:bookmarkEnd w:id="267"/>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jc w:val="left"/>
        <w:textAlignment w:val="auto"/>
        <w:outlineLvl w:val="9"/>
        <w:rPr>
          <w:rFonts w:ascii="宋体" w:hAnsi="宋体" w:cs="MingLiU"/>
          <w:snapToGrid w:val="0"/>
          <w:color w:val="auto"/>
          <w:kern w:val="0"/>
          <w:szCs w:val="21"/>
        </w:rPr>
      </w:pPr>
      <w:r>
        <w:rPr>
          <w:rFonts w:ascii="宋体" w:hAnsi="宋体"/>
          <w:snapToGrid w:val="0"/>
          <w:color w:val="auto"/>
          <w:kern w:val="0"/>
          <w:szCs w:val="21"/>
        </w:rPr>
        <w:t xml:space="preserve">4.3.1  </w:t>
      </w:r>
      <w:r>
        <w:rPr>
          <w:rFonts w:hint="eastAsia" w:ascii="宋体" w:hAnsi="宋体" w:cs="MingLiU"/>
          <w:snapToGrid w:val="0"/>
          <w:color w:val="auto"/>
          <w:kern w:val="0"/>
          <w:szCs w:val="21"/>
        </w:rPr>
        <w:t>在本章第</w:t>
      </w:r>
      <w:r>
        <w:rPr>
          <w:rFonts w:ascii="宋体" w:hAnsi="宋体"/>
          <w:snapToGrid w:val="0"/>
          <w:color w:val="auto"/>
          <w:kern w:val="0"/>
          <w:szCs w:val="21"/>
        </w:rPr>
        <w:t>2.2.2</w:t>
      </w:r>
      <w:r>
        <w:rPr>
          <w:rFonts w:hint="eastAsia" w:ascii="宋体" w:hAnsi="宋体" w:cs="MingLiU"/>
          <w:snapToGrid w:val="0"/>
          <w:color w:val="auto"/>
          <w:kern w:val="0"/>
          <w:szCs w:val="21"/>
        </w:rPr>
        <w:t>项规定的投标截止时间前，投标人可以修改或撤回已递交的投标文件，但应以书面形式通知比选人。</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jc w:val="left"/>
        <w:textAlignment w:val="auto"/>
        <w:outlineLvl w:val="9"/>
        <w:rPr>
          <w:rFonts w:ascii="宋体" w:hAnsi="宋体" w:cs="MingLiU"/>
          <w:snapToGrid w:val="0"/>
          <w:color w:val="auto"/>
          <w:kern w:val="0"/>
          <w:szCs w:val="21"/>
        </w:rPr>
      </w:pPr>
      <w:r>
        <w:rPr>
          <w:rFonts w:ascii="宋体" w:hAnsi="宋体"/>
          <w:snapToGrid w:val="0"/>
          <w:color w:val="auto"/>
          <w:kern w:val="0"/>
          <w:szCs w:val="21"/>
        </w:rPr>
        <w:t xml:space="preserve">4.3.2  </w:t>
      </w:r>
      <w:r>
        <w:rPr>
          <w:rFonts w:hint="eastAsia" w:ascii="宋体" w:hAnsi="宋体" w:cs="MingLiU"/>
          <w:snapToGrid w:val="0"/>
          <w:color w:val="auto"/>
          <w:kern w:val="0"/>
          <w:szCs w:val="21"/>
        </w:rPr>
        <w:t>投标人修改或撤回已递交投标文件的书面通知应按照本章第</w:t>
      </w:r>
      <w:r>
        <w:rPr>
          <w:rFonts w:ascii="宋体" w:hAnsi="宋体"/>
          <w:snapToGrid w:val="0"/>
          <w:color w:val="auto"/>
          <w:kern w:val="0"/>
          <w:szCs w:val="21"/>
        </w:rPr>
        <w:t>3.7.3</w:t>
      </w:r>
      <w:r>
        <w:rPr>
          <w:rFonts w:hint="eastAsia" w:ascii="宋体" w:hAnsi="宋体" w:cs="MingLiU"/>
          <w:snapToGrid w:val="0"/>
          <w:color w:val="auto"/>
          <w:kern w:val="0"/>
          <w:szCs w:val="21"/>
        </w:rPr>
        <w:t>项的要求签字或盖章。比选人收到书面通知后，向投标人出具签收凭证。</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jc w:val="left"/>
        <w:textAlignment w:val="auto"/>
        <w:outlineLvl w:val="9"/>
        <w:rPr>
          <w:rFonts w:ascii="宋体" w:hAnsi="宋体" w:cs="MingLiU"/>
          <w:snapToGrid w:val="0"/>
          <w:color w:val="auto"/>
          <w:kern w:val="0"/>
          <w:szCs w:val="21"/>
        </w:rPr>
      </w:pPr>
      <w:r>
        <w:rPr>
          <w:rFonts w:ascii="宋体" w:hAnsi="宋体"/>
          <w:snapToGrid w:val="0"/>
          <w:color w:val="auto"/>
          <w:kern w:val="0"/>
          <w:szCs w:val="21"/>
        </w:rPr>
        <w:t xml:space="preserve">4.3.3  </w:t>
      </w:r>
      <w:r>
        <w:rPr>
          <w:rFonts w:hint="eastAsia" w:ascii="宋体" w:hAnsi="宋体" w:cs="MingLiU"/>
          <w:snapToGrid w:val="0"/>
          <w:color w:val="auto"/>
          <w:kern w:val="0"/>
          <w:szCs w:val="21"/>
        </w:rPr>
        <w:t>修改的内容为投标文件的组成部分。修改的投标文件应按照本章第</w:t>
      </w:r>
      <w:r>
        <w:rPr>
          <w:rFonts w:ascii="宋体" w:hAnsi="宋体"/>
          <w:snapToGrid w:val="0"/>
          <w:color w:val="auto"/>
          <w:kern w:val="0"/>
          <w:szCs w:val="21"/>
        </w:rPr>
        <w:t>3</w:t>
      </w:r>
      <w:r>
        <w:rPr>
          <w:rFonts w:hint="eastAsia" w:ascii="宋体" w:hAnsi="宋体" w:cs="MingLiU"/>
          <w:snapToGrid w:val="0"/>
          <w:color w:val="auto"/>
          <w:kern w:val="0"/>
          <w:szCs w:val="21"/>
        </w:rPr>
        <w:t>条、第</w:t>
      </w:r>
      <w:r>
        <w:rPr>
          <w:rFonts w:hint="eastAsia" w:ascii="宋体" w:hAnsi="宋体"/>
          <w:snapToGrid w:val="0"/>
          <w:color w:val="auto"/>
          <w:kern w:val="0"/>
          <w:szCs w:val="21"/>
        </w:rPr>
        <w:t>4</w:t>
      </w:r>
      <w:r>
        <w:rPr>
          <w:rFonts w:hint="eastAsia" w:ascii="宋体" w:hAnsi="宋体" w:cs="MingLiU"/>
          <w:snapToGrid w:val="0"/>
          <w:color w:val="auto"/>
          <w:kern w:val="0"/>
          <w:szCs w:val="21"/>
        </w:rPr>
        <w:t>条规定进行编制、密封、标记和递交，并标明“修改”字样。</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hint="eastAsia" w:ascii="宋体" w:hAnsi="宋体"/>
          <w:b/>
          <w:snapToGrid w:val="0"/>
          <w:color w:val="auto"/>
          <w:kern w:val="0"/>
        </w:rPr>
      </w:pPr>
      <w:bookmarkStart w:id="268" w:name="_Toc224103348"/>
      <w:bookmarkStart w:id="269" w:name="_Toc287607777"/>
      <w:bookmarkStart w:id="270" w:name="_Toc277082583"/>
      <w:bookmarkStart w:id="271" w:name="_Toc31180"/>
      <w:bookmarkStart w:id="272" w:name="_Toc200513157"/>
      <w:bookmarkStart w:id="273" w:name="_Toc386029676"/>
      <w:bookmarkStart w:id="274" w:name="_Toc452058711"/>
      <w:bookmarkStart w:id="275" w:name="_Toc4890"/>
      <w:r>
        <w:rPr>
          <w:rFonts w:ascii="宋体" w:hAnsi="宋体"/>
          <w:b/>
          <w:snapToGrid w:val="0"/>
          <w:color w:val="auto"/>
          <w:kern w:val="0"/>
        </w:rPr>
        <w:t xml:space="preserve">5.  </w:t>
      </w:r>
      <w:r>
        <w:rPr>
          <w:rFonts w:hint="eastAsia" w:ascii="宋体" w:hAnsi="宋体"/>
          <w:b/>
          <w:snapToGrid w:val="0"/>
          <w:color w:val="auto"/>
          <w:kern w:val="0"/>
        </w:rPr>
        <w:t>开标</w:t>
      </w:r>
      <w:bookmarkEnd w:id="268"/>
      <w:bookmarkEnd w:id="269"/>
      <w:bookmarkEnd w:id="270"/>
      <w:bookmarkEnd w:id="271"/>
      <w:bookmarkEnd w:id="272"/>
      <w:bookmarkEnd w:id="273"/>
      <w:bookmarkEnd w:id="274"/>
      <w:bookmarkEnd w:id="275"/>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hint="eastAsia" w:ascii="宋体" w:hAnsi="宋体"/>
          <w:b/>
          <w:snapToGrid w:val="0"/>
          <w:color w:val="auto"/>
          <w:kern w:val="0"/>
        </w:rPr>
      </w:pPr>
      <w:bookmarkStart w:id="276" w:name="_Toc277082584"/>
      <w:bookmarkStart w:id="277" w:name="_Toc287620717"/>
      <w:bookmarkStart w:id="278" w:name="_Toc386029677"/>
      <w:bookmarkStart w:id="279" w:name="_Toc287607778"/>
      <w:bookmarkStart w:id="280" w:name="_Toc3212"/>
      <w:bookmarkStart w:id="281" w:name="_Toc200513158"/>
      <w:bookmarkStart w:id="282" w:name="_Toc224103349"/>
      <w:bookmarkStart w:id="283" w:name="_Toc452058712"/>
      <w:r>
        <w:rPr>
          <w:rFonts w:hint="eastAsia" w:ascii="宋体" w:hAnsi="宋体"/>
          <w:b/>
          <w:snapToGrid w:val="0"/>
          <w:color w:val="auto"/>
          <w:kern w:val="0"/>
        </w:rPr>
        <w:t>5.1  开标时间和地点</w:t>
      </w:r>
      <w:bookmarkEnd w:id="276"/>
      <w:bookmarkEnd w:id="277"/>
      <w:bookmarkEnd w:id="278"/>
      <w:bookmarkEnd w:id="279"/>
      <w:bookmarkEnd w:id="280"/>
      <w:bookmarkEnd w:id="281"/>
      <w:bookmarkEnd w:id="282"/>
      <w:bookmarkEnd w:id="283"/>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jc w:val="left"/>
        <w:textAlignment w:val="auto"/>
        <w:outlineLvl w:val="9"/>
        <w:rPr>
          <w:rFonts w:ascii="宋体" w:hAnsi="宋体" w:cs="MingLiU"/>
          <w:snapToGrid w:val="0"/>
          <w:color w:val="auto"/>
          <w:kern w:val="0"/>
          <w:szCs w:val="21"/>
        </w:rPr>
      </w:pPr>
      <w:bookmarkStart w:id="284" w:name="_Toc287620718"/>
      <w:bookmarkStart w:id="285" w:name="_Toc287607779"/>
      <w:bookmarkStart w:id="286" w:name="_Toc224103350"/>
      <w:bookmarkStart w:id="287" w:name="_Toc200513159"/>
      <w:bookmarkStart w:id="288" w:name="_Toc277082585"/>
      <w:bookmarkStart w:id="289" w:name="_Toc386029678"/>
      <w:bookmarkStart w:id="290" w:name="_Toc28038"/>
      <w:r>
        <w:rPr>
          <w:rFonts w:hint="eastAsia" w:ascii="宋体" w:hAnsi="宋体" w:cs="MingLiU"/>
          <w:snapToGrid w:val="0"/>
          <w:color w:val="auto"/>
          <w:kern w:val="0"/>
          <w:szCs w:val="21"/>
        </w:rPr>
        <w:t>招标人在本章第 2.2.2 项规定的投标截止时间（开标时间）和投标人须知前附表规定的地点公开开标。</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hint="eastAsia" w:ascii="宋体" w:hAnsi="宋体"/>
          <w:b/>
          <w:snapToGrid w:val="0"/>
          <w:color w:val="auto"/>
          <w:kern w:val="0"/>
        </w:rPr>
      </w:pPr>
      <w:bookmarkStart w:id="291" w:name="_Toc452058713"/>
      <w:r>
        <w:rPr>
          <w:rFonts w:ascii="宋体" w:hAnsi="宋体"/>
          <w:b/>
          <w:snapToGrid w:val="0"/>
          <w:color w:val="auto"/>
          <w:kern w:val="0"/>
        </w:rPr>
        <w:t xml:space="preserve">5.2  </w:t>
      </w:r>
      <w:r>
        <w:rPr>
          <w:rFonts w:hint="eastAsia" w:ascii="宋体" w:hAnsi="宋体"/>
          <w:b/>
          <w:snapToGrid w:val="0"/>
          <w:color w:val="auto"/>
          <w:kern w:val="0"/>
        </w:rPr>
        <w:t>开标程序</w:t>
      </w:r>
      <w:bookmarkEnd w:id="284"/>
      <w:bookmarkEnd w:id="285"/>
      <w:bookmarkEnd w:id="286"/>
      <w:bookmarkEnd w:id="287"/>
      <w:bookmarkEnd w:id="288"/>
      <w:bookmarkEnd w:id="291"/>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outlineLvl w:val="9"/>
        <w:rPr>
          <w:rFonts w:ascii="宋体" w:hAnsi="宋体"/>
          <w:snapToGrid w:val="0"/>
          <w:color w:val="auto"/>
          <w:kern w:val="0"/>
          <w:szCs w:val="21"/>
        </w:rPr>
      </w:pPr>
      <w:r>
        <w:rPr>
          <w:rFonts w:hint="eastAsia" w:ascii="宋体" w:hAnsi="宋体"/>
          <w:snapToGrid w:val="0"/>
          <w:color w:val="auto"/>
          <w:kern w:val="0"/>
          <w:szCs w:val="21"/>
        </w:rPr>
        <w:t>见投标人须知前附表</w:t>
      </w:r>
      <w:bookmarkEnd w:id="289"/>
      <w:bookmarkEnd w:id="290"/>
      <w:r>
        <w:rPr>
          <w:rFonts w:hint="eastAsia" w:ascii="宋体" w:hAnsi="宋体"/>
          <w:snapToGrid w:val="0"/>
          <w:color w:val="auto"/>
          <w:kern w:val="0"/>
          <w:szCs w:val="21"/>
        </w:rPr>
        <w:t>。</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292" w:name="_Toc287607780"/>
      <w:bookmarkStart w:id="293" w:name="_Toc224103351"/>
      <w:bookmarkStart w:id="294" w:name="_Toc386029679"/>
      <w:bookmarkStart w:id="295" w:name="_Toc452058714"/>
      <w:bookmarkStart w:id="296" w:name="_Toc30237"/>
      <w:bookmarkStart w:id="297" w:name="_Toc200513160"/>
      <w:bookmarkStart w:id="298" w:name="_Toc277082586"/>
      <w:bookmarkStart w:id="299" w:name="_Toc3979"/>
      <w:r>
        <w:rPr>
          <w:rFonts w:ascii="宋体" w:hAnsi="宋体"/>
          <w:b/>
          <w:snapToGrid w:val="0"/>
          <w:color w:val="auto"/>
          <w:kern w:val="0"/>
        </w:rPr>
        <w:t xml:space="preserve">6.  </w:t>
      </w:r>
      <w:r>
        <w:rPr>
          <w:rFonts w:hint="eastAsia" w:ascii="宋体" w:hAnsi="宋体"/>
          <w:b/>
          <w:snapToGrid w:val="0"/>
          <w:color w:val="auto"/>
          <w:kern w:val="0"/>
        </w:rPr>
        <w:t>评标</w:t>
      </w:r>
      <w:bookmarkEnd w:id="292"/>
      <w:bookmarkEnd w:id="293"/>
      <w:bookmarkEnd w:id="294"/>
      <w:bookmarkEnd w:id="295"/>
      <w:bookmarkEnd w:id="296"/>
      <w:bookmarkEnd w:id="297"/>
      <w:bookmarkEnd w:id="298"/>
      <w:bookmarkEnd w:id="299"/>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300" w:name="_Toc386029680"/>
      <w:bookmarkStart w:id="301" w:name="_Toc452058715"/>
      <w:bookmarkStart w:id="302" w:name="_Toc287620720"/>
      <w:bookmarkStart w:id="303" w:name="_Toc24437"/>
      <w:bookmarkStart w:id="304" w:name="_Toc287607781"/>
      <w:bookmarkStart w:id="305" w:name="_Toc224103352"/>
      <w:bookmarkStart w:id="306" w:name="_Toc200513161"/>
      <w:bookmarkStart w:id="307" w:name="_Toc277082587"/>
      <w:r>
        <w:rPr>
          <w:rFonts w:ascii="宋体" w:hAnsi="宋体"/>
          <w:b/>
          <w:snapToGrid w:val="0"/>
          <w:color w:val="auto"/>
          <w:kern w:val="0"/>
        </w:rPr>
        <w:t xml:space="preserve">6.1  </w:t>
      </w:r>
      <w:r>
        <w:rPr>
          <w:rFonts w:hint="eastAsia" w:ascii="宋体" w:hAnsi="宋体"/>
          <w:b/>
          <w:snapToGrid w:val="0"/>
          <w:color w:val="auto"/>
          <w:kern w:val="0"/>
        </w:rPr>
        <w:t>评标委员会</w:t>
      </w:r>
      <w:bookmarkEnd w:id="300"/>
      <w:bookmarkEnd w:id="301"/>
      <w:bookmarkEnd w:id="302"/>
      <w:bookmarkEnd w:id="303"/>
      <w:bookmarkEnd w:id="304"/>
      <w:bookmarkEnd w:id="305"/>
      <w:bookmarkEnd w:id="306"/>
      <w:bookmarkEnd w:id="307"/>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outlineLvl w:val="9"/>
        <w:rPr>
          <w:rFonts w:ascii="宋体" w:hAnsi="宋体" w:cs="MingLiU"/>
          <w:snapToGrid w:val="0"/>
          <w:color w:val="auto"/>
          <w:kern w:val="0"/>
          <w:szCs w:val="21"/>
        </w:rPr>
      </w:pPr>
      <w:r>
        <w:rPr>
          <w:rFonts w:ascii="宋体" w:hAnsi="宋体"/>
          <w:snapToGrid w:val="0"/>
          <w:color w:val="auto"/>
          <w:kern w:val="0"/>
          <w:szCs w:val="21"/>
        </w:rPr>
        <w:t xml:space="preserve">6.1.1  </w:t>
      </w:r>
      <w:r>
        <w:rPr>
          <w:rFonts w:hint="eastAsia" w:ascii="宋体" w:hAnsi="宋体" w:cs="MingLiU"/>
          <w:snapToGrid w:val="0"/>
          <w:color w:val="auto"/>
          <w:kern w:val="0"/>
          <w:szCs w:val="21"/>
        </w:rPr>
        <w:t>评标由比选人依法组建的评标委员会负责。评标委员会由有关技术、经济等方面的专家组成。评标委员会成员人数以及技术、经济等方面专家的确定方式见投标人须知前附表。</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jc w:val="left"/>
        <w:textAlignment w:val="auto"/>
        <w:outlineLvl w:val="9"/>
        <w:rPr>
          <w:rFonts w:ascii="宋体" w:hAnsi="宋体" w:cs="MingLiU"/>
          <w:snapToGrid w:val="0"/>
          <w:color w:val="auto"/>
          <w:kern w:val="0"/>
          <w:szCs w:val="21"/>
        </w:rPr>
      </w:pPr>
      <w:r>
        <w:rPr>
          <w:rFonts w:ascii="宋体" w:hAnsi="宋体"/>
          <w:snapToGrid w:val="0"/>
          <w:color w:val="auto"/>
          <w:kern w:val="0"/>
          <w:szCs w:val="21"/>
        </w:rPr>
        <w:t xml:space="preserve">6.1.2  </w:t>
      </w:r>
      <w:r>
        <w:rPr>
          <w:rFonts w:hint="eastAsia" w:ascii="宋体" w:hAnsi="宋体" w:cs="MingLiU"/>
          <w:snapToGrid w:val="0"/>
          <w:color w:val="auto"/>
          <w:kern w:val="0"/>
          <w:szCs w:val="21"/>
        </w:rPr>
        <w:t>评标委员会成员有下列情形之一的，应当回避：</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cs="MingLiU"/>
          <w:snapToGrid w:val="0"/>
          <w:color w:val="auto"/>
          <w:kern w:val="0"/>
          <w:szCs w:val="21"/>
        </w:rPr>
        <w:t>1</w:t>
      </w:r>
      <w:r>
        <w:rPr>
          <w:rFonts w:hint="eastAsia" w:ascii="宋体" w:hAnsi="宋体" w:cs="MingLiU"/>
          <w:snapToGrid w:val="0"/>
          <w:color w:val="auto"/>
          <w:kern w:val="0"/>
          <w:szCs w:val="21"/>
        </w:rPr>
        <w:t>）比选人（比选人代表除外）或投标人的在职员工及主要负责人的近亲属；</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cs="MingLiU"/>
          <w:snapToGrid w:val="0"/>
          <w:color w:val="auto"/>
          <w:kern w:val="0"/>
          <w:szCs w:val="21"/>
        </w:rPr>
        <w:t>2</w:t>
      </w:r>
      <w:r>
        <w:rPr>
          <w:rFonts w:hint="eastAsia" w:ascii="宋体" w:hAnsi="宋体" w:cs="MingLiU"/>
          <w:snapToGrid w:val="0"/>
          <w:color w:val="auto"/>
          <w:kern w:val="0"/>
          <w:szCs w:val="21"/>
        </w:rPr>
        <w:t>）项目的主管部门或者行政监督部门的人员；</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cs="MingLiU"/>
          <w:snapToGrid w:val="0"/>
          <w:color w:val="auto"/>
          <w:kern w:val="0"/>
          <w:szCs w:val="21"/>
        </w:rPr>
        <w:t>3</w:t>
      </w:r>
      <w:r>
        <w:rPr>
          <w:rFonts w:hint="eastAsia" w:ascii="宋体" w:hAnsi="宋体" w:cs="MingLiU"/>
          <w:snapToGrid w:val="0"/>
          <w:color w:val="auto"/>
          <w:kern w:val="0"/>
          <w:szCs w:val="21"/>
        </w:rPr>
        <w:t>）与投标人有利害关系，可能影响对投标公正评审的；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363" w:firstLineChars="173"/>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cs="MingLiU"/>
          <w:snapToGrid w:val="0"/>
          <w:color w:val="auto"/>
          <w:kern w:val="0"/>
          <w:szCs w:val="21"/>
        </w:rPr>
        <w:t>4</w:t>
      </w:r>
      <w:r>
        <w:rPr>
          <w:rFonts w:hint="eastAsia" w:ascii="宋体" w:hAnsi="宋体" w:cs="MingLiU"/>
          <w:snapToGrid w:val="0"/>
          <w:color w:val="auto"/>
          <w:kern w:val="0"/>
          <w:szCs w:val="21"/>
        </w:rPr>
        <w:t>）曾因在招标、评标以及其他与招标投标有关活动中从事违法行为而受过行政处罚或刑事处罚的。</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308" w:name="_Toc224103353"/>
      <w:bookmarkStart w:id="309" w:name="_Toc287607782"/>
      <w:bookmarkStart w:id="310" w:name="_Toc277082588"/>
      <w:bookmarkStart w:id="311" w:name="_Toc18690"/>
      <w:bookmarkStart w:id="312" w:name="_Toc452058716"/>
      <w:bookmarkStart w:id="313" w:name="_Toc287620721"/>
      <w:bookmarkStart w:id="314" w:name="_Toc200513162"/>
      <w:bookmarkStart w:id="315" w:name="_Toc386029681"/>
      <w:r>
        <w:rPr>
          <w:rFonts w:ascii="宋体" w:hAnsi="宋体"/>
          <w:b/>
          <w:snapToGrid w:val="0"/>
          <w:color w:val="auto"/>
          <w:kern w:val="0"/>
        </w:rPr>
        <w:t xml:space="preserve">6.2  </w:t>
      </w:r>
      <w:r>
        <w:rPr>
          <w:rFonts w:hint="eastAsia" w:ascii="宋体" w:hAnsi="宋体"/>
          <w:b/>
          <w:snapToGrid w:val="0"/>
          <w:color w:val="auto"/>
          <w:kern w:val="0"/>
        </w:rPr>
        <w:t>评标原则</w:t>
      </w:r>
      <w:bookmarkEnd w:id="308"/>
      <w:bookmarkEnd w:id="309"/>
      <w:bookmarkEnd w:id="310"/>
      <w:bookmarkEnd w:id="311"/>
      <w:bookmarkEnd w:id="312"/>
      <w:bookmarkEnd w:id="313"/>
      <w:bookmarkEnd w:id="314"/>
      <w:bookmarkEnd w:id="315"/>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 xml:space="preserve">    评标活动遵循公平、公正、科学和择优的原则。</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316" w:name="_Toc386029682"/>
      <w:bookmarkStart w:id="317" w:name="_Toc287607783"/>
      <w:bookmarkStart w:id="318" w:name="_Toc20177"/>
      <w:bookmarkStart w:id="319" w:name="_Toc452058717"/>
      <w:bookmarkStart w:id="320" w:name="_Toc287620722"/>
      <w:bookmarkStart w:id="321" w:name="_Toc224103354"/>
      <w:bookmarkStart w:id="322" w:name="_Toc277082589"/>
      <w:bookmarkStart w:id="323" w:name="_Toc200513163"/>
      <w:r>
        <w:rPr>
          <w:rFonts w:ascii="宋体" w:hAnsi="宋体"/>
          <w:b/>
          <w:snapToGrid w:val="0"/>
          <w:color w:val="auto"/>
          <w:kern w:val="0"/>
        </w:rPr>
        <w:t xml:space="preserve">6.3  </w:t>
      </w:r>
      <w:r>
        <w:rPr>
          <w:rFonts w:hint="eastAsia" w:ascii="宋体" w:hAnsi="宋体"/>
          <w:b/>
          <w:snapToGrid w:val="0"/>
          <w:color w:val="auto"/>
          <w:kern w:val="0"/>
        </w:rPr>
        <w:t>评标</w:t>
      </w:r>
      <w:bookmarkEnd w:id="316"/>
      <w:bookmarkEnd w:id="317"/>
      <w:bookmarkEnd w:id="318"/>
      <w:bookmarkEnd w:id="319"/>
      <w:bookmarkEnd w:id="320"/>
      <w:bookmarkEnd w:id="321"/>
      <w:bookmarkEnd w:id="322"/>
      <w:bookmarkEnd w:id="323"/>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jc w:val="left"/>
        <w:textAlignment w:val="auto"/>
        <w:outlineLvl w:val="9"/>
        <w:rPr>
          <w:rFonts w:ascii="宋体" w:hAnsi="宋体"/>
          <w:snapToGrid w:val="0"/>
          <w:color w:val="auto"/>
          <w:kern w:val="0"/>
        </w:rPr>
      </w:pPr>
      <w:r>
        <w:rPr>
          <w:rFonts w:hint="eastAsia" w:ascii="宋体" w:hAnsi="宋体"/>
          <w:snapToGrid w:val="0"/>
          <w:color w:val="auto"/>
          <w:kern w:val="0"/>
        </w:rPr>
        <w:t>评标委员会按照第三章“评标办法”规定的方法、评审因素、标准和程序对投标文件进行评审。第三章“评标办法”没有规定的方法、评审因素和标准，不作为评标依据。</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324" w:name="_Toc452058718"/>
      <w:bookmarkStart w:id="325" w:name="_Toc224103355"/>
      <w:bookmarkStart w:id="326" w:name="_Toc200513164"/>
      <w:bookmarkStart w:id="327" w:name="_Toc386029683"/>
      <w:bookmarkStart w:id="328" w:name="_Toc277082590"/>
      <w:bookmarkStart w:id="329" w:name="_Toc287607784"/>
      <w:bookmarkStart w:id="330" w:name="_Toc7278"/>
      <w:bookmarkStart w:id="331" w:name="_Toc26653"/>
      <w:r>
        <w:rPr>
          <w:rFonts w:ascii="宋体" w:hAnsi="宋体"/>
          <w:b/>
          <w:snapToGrid w:val="0"/>
          <w:color w:val="auto"/>
          <w:kern w:val="0"/>
        </w:rPr>
        <w:t xml:space="preserve">7.  </w:t>
      </w:r>
      <w:r>
        <w:rPr>
          <w:rFonts w:hint="eastAsia" w:ascii="宋体" w:hAnsi="宋体"/>
          <w:b/>
          <w:snapToGrid w:val="0"/>
          <w:color w:val="auto"/>
          <w:kern w:val="0"/>
        </w:rPr>
        <w:t>合同授予</w:t>
      </w:r>
      <w:bookmarkEnd w:id="324"/>
      <w:bookmarkEnd w:id="325"/>
      <w:bookmarkEnd w:id="326"/>
      <w:bookmarkEnd w:id="327"/>
      <w:bookmarkEnd w:id="328"/>
      <w:bookmarkEnd w:id="329"/>
      <w:bookmarkEnd w:id="330"/>
      <w:bookmarkEnd w:id="331"/>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332" w:name="_Toc200513165"/>
      <w:bookmarkStart w:id="333" w:name="_Toc452058719"/>
      <w:bookmarkStart w:id="334" w:name="_Toc287607785"/>
      <w:bookmarkStart w:id="335" w:name="_Toc224103356"/>
      <w:bookmarkStart w:id="336" w:name="_Toc386029684"/>
      <w:bookmarkStart w:id="337" w:name="_Toc277082591"/>
      <w:bookmarkStart w:id="338" w:name="_Toc25382"/>
      <w:bookmarkStart w:id="339" w:name="_Toc287620724"/>
      <w:r>
        <w:rPr>
          <w:rFonts w:ascii="宋体" w:hAnsi="宋体"/>
          <w:b/>
          <w:snapToGrid w:val="0"/>
          <w:color w:val="auto"/>
          <w:kern w:val="0"/>
        </w:rPr>
        <w:t xml:space="preserve">7.1  </w:t>
      </w:r>
      <w:r>
        <w:rPr>
          <w:rFonts w:hint="eastAsia" w:ascii="宋体" w:hAnsi="宋体"/>
          <w:b/>
          <w:snapToGrid w:val="0"/>
          <w:color w:val="auto"/>
          <w:kern w:val="0"/>
        </w:rPr>
        <w:t>定标方式</w:t>
      </w:r>
      <w:bookmarkEnd w:id="332"/>
      <w:bookmarkEnd w:id="333"/>
      <w:bookmarkEnd w:id="334"/>
      <w:bookmarkEnd w:id="335"/>
      <w:bookmarkEnd w:id="336"/>
      <w:bookmarkEnd w:id="337"/>
      <w:bookmarkEnd w:id="338"/>
      <w:bookmarkEnd w:id="339"/>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jc w:val="left"/>
        <w:textAlignment w:val="auto"/>
        <w:outlineLvl w:val="9"/>
        <w:rPr>
          <w:rFonts w:ascii="宋体" w:hAnsi="宋体"/>
          <w:color w:val="auto"/>
          <w:szCs w:val="21"/>
        </w:rPr>
      </w:pPr>
      <w:bookmarkStart w:id="340" w:name="_Toc287607786"/>
      <w:bookmarkStart w:id="341" w:name="_Toc200513166"/>
      <w:bookmarkStart w:id="342" w:name="_Toc224103357"/>
      <w:bookmarkStart w:id="343" w:name="_Toc386029685"/>
      <w:bookmarkStart w:id="344" w:name="_Toc23110"/>
      <w:bookmarkStart w:id="345" w:name="_Toc287620725"/>
      <w:bookmarkStart w:id="346" w:name="_Toc277082592"/>
      <w:r>
        <w:rPr>
          <w:rFonts w:hint="eastAsia" w:ascii="宋体" w:hAnsi="宋体"/>
          <w:color w:val="auto"/>
          <w:szCs w:val="21"/>
        </w:rPr>
        <w:t>7.1.1 除投标人须知前附表规定评标委员会直接确定中标人外，</w:t>
      </w:r>
      <w:r>
        <w:rPr>
          <w:rFonts w:hint="eastAsia" w:ascii="宋体" w:hAnsi="宋体"/>
          <w:color w:val="auto"/>
          <w:szCs w:val="21"/>
          <w:lang w:eastAsia="zh-CN"/>
        </w:rPr>
        <w:t>比选</w:t>
      </w:r>
      <w:r>
        <w:rPr>
          <w:rFonts w:hint="eastAsia" w:ascii="宋体" w:hAnsi="宋体"/>
          <w:color w:val="auto"/>
          <w:szCs w:val="21"/>
        </w:rPr>
        <w:t>人依据评标委员会推荐的中标候选人确定中标人，评标委员会推荐中标候选人的人数见投标人须知前附表。</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jc w:val="left"/>
        <w:textAlignment w:val="auto"/>
        <w:outlineLvl w:val="9"/>
        <w:rPr>
          <w:rFonts w:ascii="宋体" w:hAnsi="宋体"/>
          <w:color w:val="auto"/>
          <w:szCs w:val="21"/>
        </w:rPr>
      </w:pPr>
      <w:r>
        <w:rPr>
          <w:rFonts w:hint="eastAsia" w:ascii="宋体" w:hAnsi="宋体"/>
          <w:color w:val="auto"/>
          <w:szCs w:val="21"/>
        </w:rPr>
        <w:t>7.1.2 比选人应当确定排名第一的中标候选人为中标人。排名第一的中标候选人放弃中标、因不可抗力不能履行合同、不按照招标文件要求提交履约保证金，或者被查实存在影响中标结果的违法行为等情形，不符合中标条件的，</w:t>
      </w:r>
      <w:r>
        <w:rPr>
          <w:rFonts w:hint="eastAsia" w:ascii="宋体" w:hAnsi="宋体" w:cs="MingLiU"/>
          <w:snapToGrid w:val="0"/>
          <w:color w:val="auto"/>
          <w:kern w:val="0"/>
          <w:szCs w:val="21"/>
        </w:rPr>
        <w:t>比选</w:t>
      </w:r>
      <w:r>
        <w:rPr>
          <w:rFonts w:hint="eastAsia" w:ascii="宋体" w:hAnsi="宋体"/>
          <w:color w:val="auto"/>
          <w:szCs w:val="21"/>
        </w:rPr>
        <w:t>人可以按照评标委员会提出的中标候选人名单排序依次确定其他中标候选人为中标人，</w:t>
      </w:r>
      <w:r>
        <w:rPr>
          <w:rFonts w:hint="eastAsia" w:ascii="宋体" w:hAnsi="宋体"/>
          <w:b/>
          <w:color w:val="auto"/>
          <w:szCs w:val="21"/>
        </w:rPr>
        <w:t>也可以重新比选。</w:t>
      </w:r>
      <w:r>
        <w:rPr>
          <w:rFonts w:hint="eastAsia" w:ascii="宋体" w:hAnsi="宋体"/>
          <w:color w:val="auto"/>
          <w:szCs w:val="21"/>
        </w:rPr>
        <w:t>排名第一的中标候选人放弃中标后，排名第二或第三的中标候选人按次序确定为中标人的，其投标报价高于第一中标候选人投标报价的，须以第一中标候选人的投标价格为中标价格，其投标价格低于第一中标候选人投标报价的，以其实际投标价格为中标价格。</w:t>
      </w:r>
    </w:p>
    <w:bookmarkEnd w:id="340"/>
    <w:bookmarkEnd w:id="341"/>
    <w:bookmarkEnd w:id="342"/>
    <w:bookmarkEnd w:id="343"/>
    <w:bookmarkEnd w:id="344"/>
    <w:bookmarkEnd w:id="345"/>
    <w:bookmarkEnd w:id="346"/>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347" w:name="_Toc452058720"/>
      <w:bookmarkStart w:id="348" w:name="_Toc224103358"/>
      <w:bookmarkStart w:id="349" w:name="_Toc17730"/>
      <w:bookmarkStart w:id="350" w:name="_Toc287607787"/>
      <w:bookmarkStart w:id="351" w:name="_Toc386029686"/>
      <w:bookmarkStart w:id="352" w:name="_Toc200513167"/>
      <w:bookmarkStart w:id="353" w:name="_Toc277082593"/>
      <w:bookmarkStart w:id="354" w:name="_Toc287620726"/>
      <w:r>
        <w:rPr>
          <w:rFonts w:ascii="宋体" w:hAnsi="宋体"/>
          <w:b/>
          <w:snapToGrid w:val="0"/>
          <w:color w:val="auto"/>
          <w:kern w:val="0"/>
        </w:rPr>
        <w:t xml:space="preserve">7.2  </w:t>
      </w:r>
      <w:r>
        <w:rPr>
          <w:rFonts w:hint="eastAsia" w:ascii="宋体" w:hAnsi="宋体"/>
          <w:b/>
          <w:snapToGrid w:val="0"/>
          <w:color w:val="auto"/>
          <w:kern w:val="0"/>
        </w:rPr>
        <w:t>中标公示及中标通知</w:t>
      </w:r>
      <w:bookmarkEnd w:id="347"/>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outlineLvl w:val="9"/>
        <w:rPr>
          <w:rFonts w:hint="eastAsia" w:ascii="宋体" w:hAnsi="宋体"/>
          <w:snapToGrid w:val="0"/>
          <w:color w:val="auto"/>
          <w:kern w:val="0"/>
          <w:szCs w:val="21"/>
        </w:rPr>
      </w:pPr>
      <w:r>
        <w:rPr>
          <w:rFonts w:hint="eastAsia" w:ascii="宋体" w:hAnsi="宋体" w:cs="MingLiU"/>
          <w:snapToGrid w:val="0"/>
          <w:color w:val="auto"/>
          <w:kern w:val="0"/>
          <w:szCs w:val="21"/>
        </w:rPr>
        <w:t>比选</w:t>
      </w:r>
      <w:r>
        <w:rPr>
          <w:rFonts w:hint="eastAsia" w:ascii="宋体" w:hAnsi="宋体"/>
          <w:snapToGrid w:val="0"/>
          <w:color w:val="auto"/>
          <w:kern w:val="0"/>
          <w:szCs w:val="21"/>
        </w:rPr>
        <w:t>人应当在</w:t>
      </w:r>
      <w:r>
        <w:rPr>
          <w:rFonts w:hint="eastAsia"/>
          <w:color w:val="auto"/>
        </w:rPr>
        <w:t>评标结束后</w:t>
      </w:r>
      <w:r>
        <w:rPr>
          <w:rFonts w:ascii="宋体" w:hAnsi="宋体"/>
          <w:snapToGrid w:val="0"/>
          <w:color w:val="auto"/>
          <w:kern w:val="0"/>
          <w:szCs w:val="21"/>
        </w:rPr>
        <w:t>3</w:t>
      </w:r>
      <w:r>
        <w:rPr>
          <w:rFonts w:hint="eastAsia" w:ascii="宋体" w:hAnsi="宋体"/>
          <w:snapToGrid w:val="0"/>
          <w:color w:val="auto"/>
          <w:kern w:val="0"/>
          <w:szCs w:val="21"/>
        </w:rPr>
        <w:t>日内公示中标候选人，公示期不得少于</w:t>
      </w:r>
      <w:r>
        <w:rPr>
          <w:rFonts w:ascii="宋体" w:hAnsi="宋体"/>
          <w:snapToGrid w:val="0"/>
          <w:color w:val="auto"/>
          <w:kern w:val="0"/>
          <w:szCs w:val="21"/>
        </w:rPr>
        <w:t>3</w:t>
      </w:r>
      <w:r>
        <w:rPr>
          <w:rFonts w:hint="eastAsia" w:ascii="宋体" w:hAnsi="宋体"/>
          <w:snapToGrid w:val="0"/>
          <w:color w:val="auto"/>
          <w:kern w:val="0"/>
          <w:szCs w:val="21"/>
        </w:rPr>
        <w:t>日。</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outlineLvl w:val="9"/>
        <w:rPr>
          <w:rFonts w:hint="eastAsia" w:ascii="宋体" w:hAnsi="宋体"/>
          <w:snapToGrid w:val="0"/>
          <w:color w:val="auto"/>
          <w:kern w:val="0"/>
          <w:szCs w:val="21"/>
        </w:rPr>
      </w:pPr>
      <w:r>
        <w:rPr>
          <w:rFonts w:hint="eastAsia" w:ascii="宋体" w:hAnsi="宋体"/>
          <w:snapToGrid w:val="0"/>
          <w:color w:val="auto"/>
          <w:kern w:val="0"/>
          <w:szCs w:val="21"/>
        </w:rPr>
        <w:t>在本章第</w:t>
      </w:r>
      <w:r>
        <w:rPr>
          <w:rFonts w:ascii="宋体" w:hAnsi="宋体"/>
          <w:snapToGrid w:val="0"/>
          <w:color w:val="auto"/>
          <w:kern w:val="0"/>
          <w:szCs w:val="21"/>
        </w:rPr>
        <w:t xml:space="preserve"> 3.3 </w:t>
      </w:r>
      <w:r>
        <w:rPr>
          <w:rFonts w:hint="eastAsia" w:ascii="宋体" w:hAnsi="宋体"/>
          <w:snapToGrid w:val="0"/>
          <w:color w:val="auto"/>
          <w:kern w:val="0"/>
          <w:szCs w:val="21"/>
        </w:rPr>
        <w:t>款规定的投标有效期内，且未有投标人的异议与投诉，</w:t>
      </w:r>
      <w:r>
        <w:rPr>
          <w:rFonts w:hint="eastAsia" w:ascii="宋体" w:hAnsi="宋体" w:cs="MingLiU"/>
          <w:snapToGrid w:val="0"/>
          <w:color w:val="auto"/>
          <w:kern w:val="0"/>
          <w:szCs w:val="21"/>
        </w:rPr>
        <w:t>比选</w:t>
      </w:r>
      <w:r>
        <w:rPr>
          <w:rFonts w:hint="eastAsia" w:ascii="宋体" w:hAnsi="宋体"/>
          <w:snapToGrid w:val="0"/>
          <w:color w:val="auto"/>
          <w:kern w:val="0"/>
          <w:szCs w:val="21"/>
        </w:rPr>
        <w:t>人以书面形式向中标人发出中标通知书。</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355" w:name="_Toc452058721"/>
      <w:r>
        <w:rPr>
          <w:rFonts w:ascii="宋体" w:hAnsi="宋体"/>
          <w:b/>
          <w:snapToGrid w:val="0"/>
          <w:color w:val="auto"/>
          <w:kern w:val="0"/>
        </w:rPr>
        <w:t xml:space="preserve">7.3  </w:t>
      </w:r>
      <w:r>
        <w:rPr>
          <w:rFonts w:hint="eastAsia" w:ascii="宋体" w:hAnsi="宋体"/>
          <w:b/>
          <w:snapToGrid w:val="0"/>
          <w:color w:val="auto"/>
          <w:kern w:val="0"/>
        </w:rPr>
        <w:t>履约</w:t>
      </w:r>
      <w:bookmarkEnd w:id="348"/>
      <w:bookmarkEnd w:id="349"/>
      <w:bookmarkEnd w:id="350"/>
      <w:bookmarkEnd w:id="351"/>
      <w:bookmarkEnd w:id="352"/>
      <w:bookmarkEnd w:id="353"/>
      <w:bookmarkEnd w:id="354"/>
      <w:r>
        <w:rPr>
          <w:rFonts w:hint="eastAsia" w:ascii="宋体" w:hAnsi="宋体"/>
          <w:b/>
          <w:snapToGrid w:val="0"/>
          <w:color w:val="auto"/>
          <w:kern w:val="0"/>
        </w:rPr>
        <w:t>保证金</w:t>
      </w:r>
      <w:bookmarkEnd w:id="355"/>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outlineLvl w:val="9"/>
        <w:rPr>
          <w:color w:val="auto"/>
        </w:rPr>
      </w:pPr>
      <w:bookmarkStart w:id="356" w:name="_Toc287607788"/>
      <w:bookmarkStart w:id="357" w:name="_Toc277082594"/>
      <w:bookmarkStart w:id="358" w:name="_Toc386029687"/>
      <w:bookmarkStart w:id="359" w:name="_Toc224103359"/>
      <w:bookmarkStart w:id="360" w:name="_Toc287620727"/>
      <w:bookmarkStart w:id="361" w:name="_Toc15530"/>
      <w:bookmarkStart w:id="362" w:name="_Toc200513168"/>
      <w:r>
        <w:rPr>
          <w:rFonts w:hint="eastAsia"/>
          <w:color w:val="auto"/>
        </w:rPr>
        <w:t>7.3.1中标人应在收到中标通知书后</w:t>
      </w:r>
      <w:r>
        <w:rPr>
          <w:rFonts w:hint="eastAsia"/>
          <w:color w:val="auto"/>
          <w:lang w:val="en-US" w:eastAsia="zh-CN"/>
        </w:rPr>
        <w:t>10</w:t>
      </w:r>
      <w:r>
        <w:rPr>
          <w:rFonts w:hint="eastAsia"/>
          <w:color w:val="auto"/>
        </w:rPr>
        <w:t>日内，施工合同签订前按照比选人指定方式提交履约保证金。</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outlineLvl w:val="9"/>
        <w:rPr>
          <w:rFonts w:ascii="宋体" w:hAnsi="宋体"/>
          <w:snapToGrid w:val="0"/>
          <w:color w:val="auto"/>
          <w:kern w:val="0"/>
          <w:szCs w:val="21"/>
        </w:rPr>
      </w:pPr>
      <w:r>
        <w:rPr>
          <w:rFonts w:hint="eastAsia" w:ascii="宋体" w:hAnsi="宋体"/>
          <w:snapToGrid w:val="0"/>
          <w:color w:val="auto"/>
          <w:kern w:val="0"/>
          <w:szCs w:val="21"/>
        </w:rPr>
        <w:t>7.3.2  中标人不能按本章第 7.3.1 项要求提交履约保证金，视为放弃中标，其投标保证金不予退还，给比选人造成的损失超过投标保证金数额的，中标人还应当对超过部分予以赔偿。</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363" w:name="_Toc452058722"/>
      <w:r>
        <w:rPr>
          <w:rFonts w:ascii="宋体" w:hAnsi="宋体"/>
          <w:b/>
          <w:snapToGrid w:val="0"/>
          <w:color w:val="auto"/>
          <w:kern w:val="0"/>
        </w:rPr>
        <w:t xml:space="preserve">7.4  </w:t>
      </w:r>
      <w:r>
        <w:rPr>
          <w:rFonts w:hint="eastAsia" w:ascii="宋体" w:hAnsi="宋体"/>
          <w:b/>
          <w:snapToGrid w:val="0"/>
          <w:color w:val="auto"/>
          <w:kern w:val="0"/>
        </w:rPr>
        <w:t>签订合同</w:t>
      </w:r>
      <w:bookmarkEnd w:id="356"/>
      <w:bookmarkEnd w:id="357"/>
      <w:bookmarkEnd w:id="358"/>
      <w:bookmarkEnd w:id="359"/>
      <w:bookmarkEnd w:id="360"/>
      <w:bookmarkEnd w:id="361"/>
      <w:bookmarkEnd w:id="362"/>
      <w:bookmarkEnd w:id="363"/>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outlineLvl w:val="9"/>
        <w:rPr>
          <w:rFonts w:ascii="宋体" w:hAnsi="宋体" w:cs="MingLiU"/>
          <w:snapToGrid w:val="0"/>
          <w:color w:val="auto"/>
          <w:kern w:val="0"/>
          <w:szCs w:val="21"/>
        </w:rPr>
      </w:pPr>
      <w:bookmarkStart w:id="364" w:name="_Toc386029688"/>
      <w:bookmarkStart w:id="365" w:name="_Toc224103360"/>
      <w:bookmarkStart w:id="366" w:name="_Toc28937"/>
      <w:bookmarkStart w:id="367" w:name="_Toc287607789"/>
      <w:bookmarkStart w:id="368" w:name="_Toc16683"/>
      <w:bookmarkStart w:id="369" w:name="_Toc200513169"/>
      <w:bookmarkStart w:id="370" w:name="_Toc277082595"/>
      <w:r>
        <w:rPr>
          <w:rFonts w:ascii="宋体" w:hAnsi="宋体"/>
          <w:snapToGrid w:val="0"/>
          <w:color w:val="auto"/>
          <w:kern w:val="0"/>
          <w:szCs w:val="21"/>
        </w:rPr>
        <w:t xml:space="preserve">7.4.1 </w:t>
      </w:r>
      <w:r>
        <w:rPr>
          <w:rFonts w:hint="eastAsia" w:ascii="宋体" w:hAnsi="宋体" w:cs="MingLiU"/>
          <w:snapToGrid w:val="0"/>
          <w:color w:val="auto"/>
          <w:kern w:val="0"/>
          <w:szCs w:val="21"/>
        </w:rPr>
        <w:t>比选人和中标人应当自中标通知书发出之日起</w:t>
      </w:r>
      <w:r>
        <w:rPr>
          <w:rFonts w:hint="eastAsia" w:ascii="黑体" w:hAnsi="黑体" w:eastAsia="黑体"/>
          <w:b/>
          <w:snapToGrid w:val="0"/>
          <w:color w:val="auto"/>
          <w:kern w:val="0"/>
          <w:szCs w:val="21"/>
        </w:rPr>
        <w:t>10</w:t>
      </w:r>
      <w:r>
        <w:rPr>
          <w:rFonts w:hint="eastAsia" w:ascii="黑体" w:hAnsi="黑体" w:eastAsia="黑体" w:cs="MingLiU"/>
          <w:b/>
          <w:snapToGrid w:val="0"/>
          <w:color w:val="auto"/>
          <w:kern w:val="0"/>
          <w:szCs w:val="21"/>
        </w:rPr>
        <w:t>天内</w:t>
      </w:r>
      <w:r>
        <w:rPr>
          <w:rFonts w:hint="eastAsia" w:ascii="宋体" w:hAnsi="宋体" w:cs="MingLiU"/>
          <w:snapToGrid w:val="0"/>
          <w:color w:val="auto"/>
          <w:kern w:val="0"/>
          <w:szCs w:val="21"/>
        </w:rPr>
        <w:t>，根据比选文件和中标人的投标文件订立书面合同。中标人无正当理由拒签合同的，比选人取消其中标资格，其投标保证金不予退还；给比选人造成的损失超过投标保证金数额的，中标人还应当对超过部分予以赔偿。</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jc w:val="left"/>
        <w:textAlignment w:val="auto"/>
        <w:outlineLvl w:val="9"/>
        <w:rPr>
          <w:rFonts w:ascii="宋体" w:hAnsi="宋体" w:cs="MingLiU"/>
          <w:snapToGrid w:val="0"/>
          <w:color w:val="auto"/>
          <w:kern w:val="0"/>
          <w:szCs w:val="21"/>
        </w:rPr>
      </w:pPr>
      <w:r>
        <w:rPr>
          <w:rFonts w:ascii="宋体" w:hAnsi="宋体"/>
          <w:snapToGrid w:val="0"/>
          <w:color w:val="auto"/>
          <w:kern w:val="0"/>
          <w:szCs w:val="21"/>
        </w:rPr>
        <w:t xml:space="preserve">7.4.2  </w:t>
      </w:r>
      <w:r>
        <w:rPr>
          <w:rFonts w:hint="eastAsia" w:ascii="宋体" w:hAnsi="宋体" w:cs="MingLiU"/>
          <w:snapToGrid w:val="0"/>
          <w:color w:val="auto"/>
          <w:kern w:val="0"/>
          <w:szCs w:val="21"/>
        </w:rPr>
        <w:t>发出中标通知书后，比选人无正当理由拒签合同的，比选人向中标人退还投标保证金；给中标人造成损失的，还应当赔偿损失。</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hint="eastAsia" w:ascii="宋体" w:hAnsi="宋体"/>
          <w:b/>
          <w:snapToGrid w:val="0"/>
          <w:color w:val="auto"/>
          <w:kern w:val="0"/>
        </w:rPr>
      </w:pPr>
      <w:bookmarkStart w:id="371" w:name="_Toc452058723"/>
      <w:r>
        <w:rPr>
          <w:rFonts w:ascii="宋体" w:hAnsi="宋体"/>
          <w:b/>
          <w:snapToGrid w:val="0"/>
          <w:color w:val="auto"/>
          <w:kern w:val="0"/>
        </w:rPr>
        <w:t xml:space="preserve">8.  </w:t>
      </w:r>
      <w:r>
        <w:rPr>
          <w:rFonts w:hint="eastAsia" w:ascii="宋体" w:hAnsi="宋体"/>
          <w:b/>
          <w:snapToGrid w:val="0"/>
          <w:color w:val="auto"/>
          <w:kern w:val="0"/>
        </w:rPr>
        <w:t>重新比选和不再</w:t>
      </w:r>
      <w:bookmarkEnd w:id="364"/>
      <w:bookmarkEnd w:id="365"/>
      <w:bookmarkEnd w:id="366"/>
      <w:bookmarkEnd w:id="367"/>
      <w:bookmarkEnd w:id="368"/>
      <w:bookmarkEnd w:id="369"/>
      <w:bookmarkEnd w:id="370"/>
      <w:bookmarkEnd w:id="371"/>
      <w:r>
        <w:rPr>
          <w:rFonts w:hint="eastAsia" w:ascii="宋体" w:hAnsi="宋体"/>
          <w:b/>
          <w:snapToGrid w:val="0"/>
          <w:color w:val="auto"/>
          <w:kern w:val="0"/>
        </w:rPr>
        <w:t>比选</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372" w:name="_Toc287607790"/>
      <w:bookmarkStart w:id="373" w:name="_Toc287620729"/>
      <w:bookmarkStart w:id="374" w:name="_Toc386029689"/>
      <w:bookmarkStart w:id="375" w:name="_Toc30995"/>
      <w:bookmarkStart w:id="376" w:name="_Toc277082596"/>
      <w:bookmarkStart w:id="377" w:name="_Toc224103361"/>
      <w:bookmarkStart w:id="378" w:name="_Toc452058724"/>
      <w:bookmarkStart w:id="379" w:name="_Toc200513170"/>
      <w:r>
        <w:rPr>
          <w:rFonts w:ascii="宋体" w:hAnsi="宋体"/>
          <w:b/>
          <w:snapToGrid w:val="0"/>
          <w:color w:val="auto"/>
          <w:kern w:val="0"/>
        </w:rPr>
        <w:t xml:space="preserve">8.1 </w:t>
      </w:r>
      <w:r>
        <w:rPr>
          <w:rFonts w:hint="eastAsia" w:ascii="宋体" w:hAnsi="宋体"/>
          <w:b/>
          <w:snapToGrid w:val="0"/>
          <w:color w:val="auto"/>
          <w:kern w:val="0"/>
        </w:rPr>
        <w:t>重新</w:t>
      </w:r>
      <w:bookmarkEnd w:id="372"/>
      <w:bookmarkEnd w:id="373"/>
      <w:bookmarkEnd w:id="374"/>
      <w:bookmarkEnd w:id="375"/>
      <w:bookmarkEnd w:id="376"/>
      <w:bookmarkEnd w:id="377"/>
      <w:bookmarkEnd w:id="378"/>
      <w:bookmarkEnd w:id="379"/>
      <w:r>
        <w:rPr>
          <w:rFonts w:hint="eastAsia" w:ascii="宋体" w:hAnsi="宋体"/>
          <w:b/>
          <w:snapToGrid w:val="0"/>
          <w:color w:val="auto"/>
          <w:kern w:val="0"/>
        </w:rPr>
        <w:t>比选</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有下列情形之一的，比选人将重新比选：</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（1）投标截止时间止，投标人少于 3 个的；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（2）经评标委员会评审后否决所有投标的；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（3）经评审后，如合格的投标人少于三个的，且明显缺乏竞争的，评标委员会可以否决全部投标，比选人将重新组织比选。</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（4）法律法规规定的其他情形。</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380" w:name="_Toc287607791"/>
      <w:bookmarkStart w:id="381" w:name="_Toc287620730"/>
      <w:bookmarkStart w:id="382" w:name="_Toc452058725"/>
      <w:bookmarkStart w:id="383" w:name="_Toc200513171"/>
      <w:bookmarkStart w:id="384" w:name="_Toc21171"/>
      <w:bookmarkStart w:id="385" w:name="_Toc277082597"/>
      <w:bookmarkStart w:id="386" w:name="_Toc224103362"/>
      <w:bookmarkStart w:id="387" w:name="_Toc386029690"/>
      <w:r>
        <w:rPr>
          <w:rFonts w:ascii="宋体" w:hAnsi="宋体"/>
          <w:b/>
          <w:snapToGrid w:val="0"/>
          <w:color w:val="auto"/>
          <w:kern w:val="0"/>
        </w:rPr>
        <w:t xml:space="preserve">8.2 </w:t>
      </w:r>
      <w:r>
        <w:rPr>
          <w:rFonts w:hint="eastAsia" w:ascii="宋体" w:hAnsi="宋体"/>
          <w:b/>
          <w:snapToGrid w:val="0"/>
          <w:color w:val="auto"/>
          <w:kern w:val="0"/>
        </w:rPr>
        <w:t>二次比选和不再</w:t>
      </w:r>
      <w:bookmarkEnd w:id="380"/>
      <w:bookmarkEnd w:id="381"/>
      <w:bookmarkEnd w:id="382"/>
      <w:bookmarkEnd w:id="383"/>
      <w:bookmarkEnd w:id="384"/>
      <w:bookmarkEnd w:id="385"/>
      <w:bookmarkEnd w:id="386"/>
      <w:bookmarkEnd w:id="387"/>
      <w:r>
        <w:rPr>
          <w:rFonts w:hint="eastAsia" w:ascii="宋体" w:hAnsi="宋体"/>
          <w:b/>
          <w:snapToGrid w:val="0"/>
          <w:color w:val="auto"/>
          <w:kern w:val="0"/>
        </w:rPr>
        <w:t>比选</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outlineLvl w:val="9"/>
        <w:rPr>
          <w:rFonts w:hint="eastAsia" w:ascii="宋体" w:hAnsi="宋体" w:cs="MingLiU"/>
          <w:snapToGrid w:val="0"/>
          <w:color w:val="auto"/>
          <w:kern w:val="0"/>
          <w:szCs w:val="21"/>
        </w:rPr>
      </w:pPr>
      <w:bookmarkStart w:id="388" w:name="_Toc386029691"/>
      <w:bookmarkStart w:id="389" w:name="_Toc287607792"/>
      <w:bookmarkStart w:id="390" w:name="_Toc224103363"/>
      <w:bookmarkStart w:id="391" w:name="_Toc3340"/>
      <w:bookmarkStart w:id="392" w:name="_Toc277082598"/>
      <w:bookmarkStart w:id="393" w:name="_Toc200513172"/>
      <w:bookmarkStart w:id="394" w:name="_Toc15649"/>
      <w:r>
        <w:rPr>
          <w:rFonts w:hint="eastAsia" w:ascii="宋体" w:hAnsi="宋体" w:cs="MingLiU"/>
          <w:snapToGrid w:val="0"/>
          <w:color w:val="auto"/>
          <w:kern w:val="0"/>
          <w:szCs w:val="21"/>
        </w:rPr>
        <w:t>重新招标后投标人仍少于3个，按法定程序开标和评标，确定中标人。经评审无合格投标人，属于必须审批或核准的工程建设项目，经原审批或核准部门批准后不再进行招标。</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r>
        <w:rPr>
          <w:rFonts w:ascii="宋体" w:hAnsi="宋体"/>
          <w:b/>
          <w:snapToGrid w:val="0"/>
          <w:color w:val="auto"/>
          <w:kern w:val="0"/>
        </w:rPr>
        <w:t xml:space="preserve">9.  </w:t>
      </w:r>
      <w:r>
        <w:rPr>
          <w:rFonts w:hint="eastAsia" w:ascii="宋体" w:hAnsi="宋体"/>
          <w:b/>
          <w:snapToGrid w:val="0"/>
          <w:color w:val="auto"/>
          <w:kern w:val="0"/>
        </w:rPr>
        <w:t>纪律和监督</w:t>
      </w:r>
      <w:bookmarkEnd w:id="388"/>
      <w:bookmarkEnd w:id="389"/>
      <w:bookmarkEnd w:id="390"/>
      <w:bookmarkEnd w:id="391"/>
      <w:bookmarkEnd w:id="392"/>
      <w:bookmarkEnd w:id="393"/>
      <w:bookmarkEnd w:id="394"/>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hint="eastAsia" w:ascii="宋体" w:hAnsi="宋体"/>
          <w:b/>
          <w:snapToGrid w:val="0"/>
          <w:color w:val="auto"/>
          <w:kern w:val="0"/>
        </w:rPr>
      </w:pPr>
      <w:bookmarkStart w:id="395" w:name="_Toc386029692"/>
      <w:bookmarkStart w:id="396" w:name="_Toc200513173"/>
      <w:bookmarkStart w:id="397" w:name="_Toc224103364"/>
      <w:bookmarkStart w:id="398" w:name="_Toc452058726"/>
      <w:bookmarkStart w:id="399" w:name="_Toc277082599"/>
      <w:bookmarkStart w:id="400" w:name="_Toc29442"/>
      <w:bookmarkStart w:id="401" w:name="_Toc287620732"/>
      <w:bookmarkStart w:id="402" w:name="_Toc287607793"/>
      <w:r>
        <w:rPr>
          <w:rFonts w:ascii="宋体" w:hAnsi="宋体"/>
          <w:b/>
          <w:snapToGrid w:val="0"/>
          <w:color w:val="auto"/>
          <w:kern w:val="0"/>
        </w:rPr>
        <w:t xml:space="preserve">9.1 </w:t>
      </w:r>
      <w:r>
        <w:rPr>
          <w:rFonts w:hint="eastAsia" w:ascii="宋体" w:hAnsi="宋体"/>
          <w:b/>
          <w:snapToGrid w:val="0"/>
          <w:color w:val="auto"/>
          <w:kern w:val="0"/>
        </w:rPr>
        <w:t>对比选人的纪律要求</w:t>
      </w:r>
      <w:bookmarkEnd w:id="395"/>
      <w:bookmarkEnd w:id="396"/>
      <w:bookmarkEnd w:id="397"/>
      <w:bookmarkEnd w:id="398"/>
      <w:bookmarkEnd w:id="399"/>
      <w:bookmarkEnd w:id="400"/>
      <w:bookmarkEnd w:id="401"/>
      <w:bookmarkEnd w:id="402"/>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比选人</w:t>
      </w:r>
      <w:r>
        <w:rPr>
          <w:rFonts w:hint="eastAsia" w:ascii="宋体" w:hAnsi="宋体" w:cs="MingLiU"/>
          <w:snapToGrid w:val="0"/>
          <w:color w:val="auto"/>
          <w:kern w:val="0"/>
          <w:szCs w:val="21"/>
          <w:lang w:eastAsia="zh-CN"/>
        </w:rPr>
        <w:t>不得泄露</w:t>
      </w:r>
      <w:r>
        <w:rPr>
          <w:rFonts w:hint="eastAsia" w:ascii="宋体" w:hAnsi="宋体" w:cs="MingLiU"/>
          <w:snapToGrid w:val="0"/>
          <w:color w:val="auto"/>
          <w:kern w:val="0"/>
          <w:szCs w:val="21"/>
        </w:rPr>
        <w:t>招标投标活动中应当保密的情况和资料，不得与投标人串通损害国家利益、社会公共利益或者他人合法权益，</w:t>
      </w:r>
      <w:r>
        <w:rPr>
          <w:rFonts w:hint="eastAsia"/>
          <w:color w:val="auto"/>
        </w:rPr>
        <w:t>禁止</w:t>
      </w:r>
      <w:r>
        <w:rPr>
          <w:rFonts w:hint="eastAsia" w:ascii="宋体" w:hAnsi="宋体" w:cs="MingLiU"/>
          <w:snapToGrid w:val="0"/>
          <w:color w:val="auto"/>
          <w:kern w:val="0"/>
          <w:szCs w:val="21"/>
        </w:rPr>
        <w:t>比选</w:t>
      </w:r>
      <w:r>
        <w:rPr>
          <w:rFonts w:hint="eastAsia"/>
          <w:color w:val="auto"/>
        </w:rPr>
        <w:t>人与投标人串通投标。</w:t>
      </w:r>
      <w:r>
        <w:rPr>
          <w:rFonts w:hint="eastAsia"/>
          <w:color w:val="auto"/>
        </w:rPr>
        <w:br w:type="textWrapping"/>
      </w:r>
      <w:r>
        <w:rPr>
          <w:rFonts w:hint="eastAsia"/>
          <w:color w:val="auto"/>
        </w:rPr>
        <w:t>     有下列情形之一的，属于</w:t>
      </w:r>
      <w:r>
        <w:rPr>
          <w:rFonts w:hint="eastAsia" w:ascii="宋体" w:hAnsi="宋体" w:cs="MingLiU"/>
          <w:snapToGrid w:val="0"/>
          <w:color w:val="auto"/>
          <w:kern w:val="0"/>
          <w:szCs w:val="21"/>
        </w:rPr>
        <w:t>比选</w:t>
      </w:r>
      <w:r>
        <w:rPr>
          <w:rFonts w:hint="eastAsia"/>
          <w:color w:val="auto"/>
        </w:rPr>
        <w:t>人与投标人串通投标：</w:t>
      </w:r>
      <w:r>
        <w:rPr>
          <w:rFonts w:hint="eastAsia"/>
          <w:color w:val="auto"/>
        </w:rPr>
        <w:br w:type="textWrapping"/>
      </w:r>
      <w:r>
        <w:rPr>
          <w:rFonts w:hint="eastAsia"/>
          <w:color w:val="auto"/>
        </w:rPr>
        <w:t>    （1）</w:t>
      </w:r>
      <w:r>
        <w:rPr>
          <w:rFonts w:hint="eastAsia" w:ascii="宋体" w:hAnsi="宋体" w:cs="MingLiU"/>
          <w:snapToGrid w:val="0"/>
          <w:color w:val="auto"/>
          <w:kern w:val="0"/>
          <w:szCs w:val="21"/>
        </w:rPr>
        <w:t>比选</w:t>
      </w:r>
      <w:r>
        <w:rPr>
          <w:rFonts w:hint="eastAsia"/>
          <w:color w:val="auto"/>
        </w:rPr>
        <w:t>人在开标前开启投标文件并将有关信息泄露给其他投标人</w:t>
      </w:r>
      <w:r>
        <w:rPr>
          <w:rFonts w:hint="eastAsia"/>
          <w:color w:val="auto"/>
          <w:lang w:eastAsia="zh-CN"/>
        </w:rPr>
        <w:t>；</w:t>
      </w:r>
      <w:r>
        <w:rPr>
          <w:rFonts w:hint="eastAsia"/>
          <w:color w:val="auto"/>
        </w:rPr>
        <w:br w:type="textWrapping"/>
      </w:r>
      <w:r>
        <w:rPr>
          <w:rFonts w:hint="eastAsia"/>
          <w:color w:val="auto"/>
        </w:rPr>
        <w:t>    （2）</w:t>
      </w:r>
      <w:r>
        <w:rPr>
          <w:rFonts w:hint="eastAsia" w:ascii="宋体" w:hAnsi="宋体" w:cs="MingLiU"/>
          <w:snapToGrid w:val="0"/>
          <w:color w:val="auto"/>
          <w:kern w:val="0"/>
          <w:szCs w:val="21"/>
        </w:rPr>
        <w:t>比选</w:t>
      </w:r>
      <w:r>
        <w:rPr>
          <w:rFonts w:hint="eastAsia"/>
          <w:color w:val="auto"/>
        </w:rPr>
        <w:t>人直接或者间接向投标人泄露标底、评标委员会成员等信息；</w:t>
      </w:r>
      <w:r>
        <w:rPr>
          <w:rFonts w:hint="eastAsia"/>
          <w:color w:val="auto"/>
        </w:rPr>
        <w:br w:type="textWrapping"/>
      </w:r>
      <w:r>
        <w:rPr>
          <w:rFonts w:hint="eastAsia"/>
          <w:color w:val="auto"/>
        </w:rPr>
        <w:t>    （3）</w:t>
      </w:r>
      <w:r>
        <w:rPr>
          <w:rFonts w:hint="eastAsia" w:ascii="宋体" w:hAnsi="宋体" w:cs="MingLiU"/>
          <w:snapToGrid w:val="0"/>
          <w:color w:val="auto"/>
          <w:kern w:val="0"/>
          <w:szCs w:val="21"/>
        </w:rPr>
        <w:t>比选</w:t>
      </w:r>
      <w:r>
        <w:rPr>
          <w:rFonts w:hint="eastAsia"/>
          <w:color w:val="auto"/>
        </w:rPr>
        <w:t>人明示或者暗示投标人压低或者抬高投标报价；</w:t>
      </w:r>
      <w:r>
        <w:rPr>
          <w:rFonts w:hint="eastAsia"/>
          <w:color w:val="auto"/>
        </w:rPr>
        <w:br w:type="textWrapping"/>
      </w:r>
      <w:r>
        <w:rPr>
          <w:rFonts w:hint="eastAsia"/>
          <w:color w:val="auto"/>
        </w:rPr>
        <w:t>    （4）</w:t>
      </w:r>
      <w:r>
        <w:rPr>
          <w:rFonts w:hint="eastAsia" w:ascii="宋体" w:hAnsi="宋体" w:cs="MingLiU"/>
          <w:snapToGrid w:val="0"/>
          <w:color w:val="auto"/>
          <w:kern w:val="0"/>
          <w:szCs w:val="21"/>
        </w:rPr>
        <w:t>比选</w:t>
      </w:r>
      <w:r>
        <w:rPr>
          <w:rFonts w:hint="eastAsia"/>
          <w:color w:val="auto"/>
        </w:rPr>
        <w:t>人授意投标人撤换、修改投标文件；</w:t>
      </w:r>
      <w:r>
        <w:rPr>
          <w:rFonts w:hint="eastAsia"/>
          <w:color w:val="auto"/>
        </w:rPr>
        <w:br w:type="textWrapping"/>
      </w:r>
      <w:r>
        <w:rPr>
          <w:rFonts w:hint="eastAsia"/>
          <w:color w:val="auto"/>
        </w:rPr>
        <w:t>    （5）</w:t>
      </w:r>
      <w:r>
        <w:rPr>
          <w:rFonts w:hint="eastAsia" w:ascii="宋体" w:hAnsi="宋体" w:cs="MingLiU"/>
          <w:snapToGrid w:val="0"/>
          <w:color w:val="auto"/>
          <w:kern w:val="0"/>
          <w:szCs w:val="21"/>
        </w:rPr>
        <w:t>比选</w:t>
      </w:r>
      <w:r>
        <w:rPr>
          <w:rFonts w:hint="eastAsia"/>
          <w:color w:val="auto"/>
        </w:rPr>
        <w:t>人明示或者暗示投标人为特定投标人中标提供方便；</w:t>
      </w:r>
      <w:r>
        <w:rPr>
          <w:rFonts w:hint="eastAsia"/>
          <w:color w:val="auto"/>
        </w:rPr>
        <w:br w:type="textWrapping"/>
      </w:r>
      <w:r>
        <w:rPr>
          <w:rFonts w:hint="eastAsia"/>
          <w:color w:val="auto"/>
        </w:rPr>
        <w:t>    （6）</w:t>
      </w:r>
      <w:r>
        <w:rPr>
          <w:rFonts w:hint="eastAsia" w:ascii="宋体" w:hAnsi="宋体" w:cs="MingLiU"/>
          <w:snapToGrid w:val="0"/>
          <w:color w:val="auto"/>
          <w:kern w:val="0"/>
          <w:szCs w:val="21"/>
        </w:rPr>
        <w:t>比选</w:t>
      </w:r>
      <w:r>
        <w:rPr>
          <w:rFonts w:hint="eastAsia"/>
          <w:color w:val="auto"/>
        </w:rPr>
        <w:t>人与投标人为谋求特定投标人中标而采取的其他串通行为。</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403" w:name="_Toc287607794"/>
      <w:bookmarkStart w:id="404" w:name="_Toc386029693"/>
      <w:bookmarkStart w:id="405" w:name="_Toc287620733"/>
      <w:bookmarkStart w:id="406" w:name="_Toc452058727"/>
      <w:bookmarkStart w:id="407" w:name="_Toc277082600"/>
      <w:bookmarkStart w:id="408" w:name="_Toc530"/>
      <w:bookmarkStart w:id="409" w:name="_Toc224103365"/>
      <w:bookmarkStart w:id="410" w:name="_Toc200513174"/>
      <w:r>
        <w:rPr>
          <w:rFonts w:ascii="宋体" w:hAnsi="宋体"/>
          <w:b/>
          <w:snapToGrid w:val="0"/>
          <w:color w:val="auto"/>
          <w:kern w:val="0"/>
        </w:rPr>
        <w:t xml:space="preserve">9.2  </w:t>
      </w:r>
      <w:r>
        <w:rPr>
          <w:rFonts w:hint="eastAsia" w:ascii="宋体" w:hAnsi="宋体"/>
          <w:b/>
          <w:snapToGrid w:val="0"/>
          <w:color w:val="auto"/>
          <w:kern w:val="0"/>
        </w:rPr>
        <w:t>对投标人的纪律要求</w:t>
      </w:r>
      <w:bookmarkEnd w:id="403"/>
      <w:bookmarkEnd w:id="404"/>
      <w:bookmarkEnd w:id="405"/>
      <w:bookmarkEnd w:id="406"/>
      <w:bookmarkEnd w:id="407"/>
      <w:bookmarkEnd w:id="408"/>
      <w:bookmarkEnd w:id="409"/>
      <w:bookmarkEnd w:id="410"/>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jc w:val="left"/>
        <w:textAlignment w:val="auto"/>
        <w:outlineLvl w:val="9"/>
        <w:rPr>
          <w:rFonts w:hint="eastAsia"/>
          <w:color w:val="auto"/>
        </w:rPr>
      </w:pPr>
      <w:r>
        <w:rPr>
          <w:rFonts w:hint="eastAsia" w:ascii="宋体" w:hAnsi="宋体" w:cs="MingLiU"/>
          <w:snapToGrid w:val="0"/>
          <w:color w:val="auto"/>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r>
        <w:rPr>
          <w:rFonts w:hint="eastAsia"/>
          <w:color w:val="auto"/>
        </w:rPr>
        <w:br w:type="textWrapping"/>
      </w:r>
      <w:r>
        <w:rPr>
          <w:rFonts w:hint="eastAsia"/>
          <w:color w:val="auto"/>
        </w:rPr>
        <w:t>     有下列情形之一的，属于投标人相互串通投标：</w:t>
      </w:r>
      <w:r>
        <w:rPr>
          <w:rFonts w:hint="eastAsia"/>
          <w:color w:val="auto"/>
        </w:rPr>
        <w:br w:type="textWrapping"/>
      </w:r>
      <w:r>
        <w:rPr>
          <w:rFonts w:hint="eastAsia"/>
          <w:color w:val="auto"/>
        </w:rPr>
        <w:t>    （1）投标人之间协商投标报价等投标文件的实质性内容；</w:t>
      </w:r>
      <w:r>
        <w:rPr>
          <w:rFonts w:hint="eastAsia"/>
          <w:color w:val="auto"/>
        </w:rPr>
        <w:br w:type="textWrapping"/>
      </w:r>
      <w:r>
        <w:rPr>
          <w:rFonts w:hint="eastAsia"/>
          <w:color w:val="auto"/>
        </w:rPr>
        <w:t>    （2）投标人之间约定中标人；</w:t>
      </w:r>
      <w:r>
        <w:rPr>
          <w:rFonts w:hint="eastAsia"/>
          <w:color w:val="auto"/>
        </w:rPr>
        <w:br w:type="textWrapping"/>
      </w:r>
      <w:r>
        <w:rPr>
          <w:rFonts w:hint="eastAsia"/>
          <w:color w:val="auto"/>
        </w:rPr>
        <w:t>    （3）投标人之间约定部分投标人放弃投标或者中标；</w:t>
      </w:r>
      <w:r>
        <w:rPr>
          <w:rFonts w:hint="eastAsia"/>
          <w:color w:val="auto"/>
        </w:rPr>
        <w:br w:type="textWrapping"/>
      </w:r>
      <w:r>
        <w:rPr>
          <w:rFonts w:hint="eastAsia"/>
          <w:color w:val="auto"/>
        </w:rPr>
        <w:t>    （4）属于同一集团、协会、商会等组织成员的投标人按照该组织要求协同投标；</w:t>
      </w:r>
      <w:r>
        <w:rPr>
          <w:rFonts w:hint="eastAsia"/>
          <w:color w:val="auto"/>
        </w:rPr>
        <w:br w:type="textWrapping"/>
      </w:r>
      <w:r>
        <w:rPr>
          <w:rFonts w:hint="eastAsia"/>
          <w:color w:val="auto"/>
        </w:rPr>
        <w:t>    （5）投标人之间为谋取中标或者排斥特定投标人而采取的其他联合行动。</w:t>
      </w:r>
      <w:r>
        <w:rPr>
          <w:rFonts w:hint="eastAsia"/>
          <w:color w:val="auto"/>
        </w:rPr>
        <w:br w:type="textWrapping"/>
      </w:r>
      <w:r>
        <w:rPr>
          <w:rFonts w:hint="eastAsia"/>
          <w:color w:val="auto"/>
        </w:rPr>
        <w:t>    有下列情形之一的，视为投标人相互串通投标：</w:t>
      </w:r>
      <w:r>
        <w:rPr>
          <w:rFonts w:hint="eastAsia"/>
          <w:color w:val="auto"/>
        </w:rPr>
        <w:br w:type="textWrapping"/>
      </w:r>
      <w:r>
        <w:rPr>
          <w:rFonts w:hint="eastAsia"/>
          <w:color w:val="auto"/>
        </w:rPr>
        <w:t>    （1）不同投标人的投标文件由同一单位或者个人编制；</w:t>
      </w:r>
      <w:r>
        <w:rPr>
          <w:rFonts w:hint="eastAsia"/>
          <w:color w:val="auto"/>
        </w:rPr>
        <w:br w:type="textWrapping"/>
      </w:r>
      <w:r>
        <w:rPr>
          <w:rFonts w:hint="eastAsia"/>
          <w:color w:val="auto"/>
        </w:rPr>
        <w:t>    （2）不同投标人委托同一单位或者个人办理投标事宜；</w:t>
      </w:r>
      <w:r>
        <w:rPr>
          <w:rFonts w:hint="eastAsia"/>
          <w:color w:val="auto"/>
        </w:rPr>
        <w:br w:type="textWrapping"/>
      </w:r>
      <w:r>
        <w:rPr>
          <w:rFonts w:hint="eastAsia"/>
          <w:color w:val="auto"/>
        </w:rPr>
        <w:t>    （3）不同投标人的投标文件载明的项目管理成员为同一人；</w:t>
      </w:r>
      <w:r>
        <w:rPr>
          <w:rFonts w:hint="eastAsia"/>
          <w:color w:val="auto"/>
        </w:rPr>
        <w:br w:type="textWrapping"/>
      </w:r>
      <w:r>
        <w:rPr>
          <w:rFonts w:hint="eastAsia"/>
          <w:color w:val="auto"/>
        </w:rPr>
        <w:t>    （4）不同投标人的投标文件异常一致或者投标报价呈规律性差异；</w:t>
      </w:r>
      <w:r>
        <w:rPr>
          <w:rFonts w:hint="eastAsia"/>
          <w:color w:val="auto"/>
        </w:rPr>
        <w:br w:type="textWrapping"/>
      </w:r>
      <w:r>
        <w:rPr>
          <w:rFonts w:hint="eastAsia"/>
          <w:color w:val="auto"/>
        </w:rPr>
        <w:t>    （5）不同投标人的投标文件相互混装；</w:t>
      </w:r>
      <w:r>
        <w:rPr>
          <w:rFonts w:hint="eastAsia"/>
          <w:color w:val="auto"/>
        </w:rPr>
        <w:br w:type="textWrapping"/>
      </w:r>
      <w:r>
        <w:rPr>
          <w:rFonts w:hint="eastAsia"/>
          <w:color w:val="auto"/>
        </w:rPr>
        <w:t>    （6）不同投标人的投标保证金从同一单位或者个人的账户转出。</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315" w:firstLineChars="150"/>
        <w:jc w:val="left"/>
        <w:textAlignment w:val="auto"/>
        <w:outlineLvl w:val="9"/>
        <w:rPr>
          <w:rFonts w:ascii="宋体" w:hAnsi="宋体" w:cs="MingLiU"/>
          <w:snapToGrid w:val="0"/>
          <w:color w:val="auto"/>
          <w:kern w:val="0"/>
          <w:szCs w:val="21"/>
        </w:rPr>
      </w:pPr>
      <w:r>
        <w:rPr>
          <w:rFonts w:hint="eastAsia"/>
          <w:color w:val="auto"/>
        </w:rPr>
        <w:t>使用通过受让或者租借等方式获取的资格、资质证书投标的，属于以他人名义投标。</w:t>
      </w:r>
      <w:r>
        <w:rPr>
          <w:rFonts w:hint="eastAsia"/>
          <w:color w:val="auto"/>
        </w:rPr>
        <w:br w:type="textWrapping"/>
      </w:r>
      <w:r>
        <w:rPr>
          <w:rFonts w:hint="eastAsia"/>
          <w:color w:val="auto"/>
        </w:rPr>
        <w:t>     投标人有下列情形之一的，属于以其他方式弄虚作假的行为：</w:t>
      </w:r>
      <w:r>
        <w:rPr>
          <w:rFonts w:hint="eastAsia"/>
          <w:color w:val="auto"/>
        </w:rPr>
        <w:br w:type="textWrapping"/>
      </w:r>
      <w:r>
        <w:rPr>
          <w:rFonts w:hint="eastAsia"/>
          <w:color w:val="auto"/>
        </w:rPr>
        <w:t>    （1）使用伪造、变造的许可证件；</w:t>
      </w:r>
      <w:r>
        <w:rPr>
          <w:rFonts w:hint="eastAsia"/>
          <w:color w:val="auto"/>
        </w:rPr>
        <w:br w:type="textWrapping"/>
      </w:r>
      <w:r>
        <w:rPr>
          <w:rFonts w:hint="eastAsia"/>
          <w:color w:val="auto"/>
        </w:rPr>
        <w:t>    （2）提供虚假的财务状况或者业绩；</w:t>
      </w:r>
      <w:r>
        <w:rPr>
          <w:rFonts w:hint="eastAsia"/>
          <w:color w:val="auto"/>
        </w:rPr>
        <w:br w:type="textWrapping"/>
      </w:r>
      <w:r>
        <w:rPr>
          <w:rFonts w:hint="eastAsia"/>
          <w:color w:val="auto"/>
        </w:rPr>
        <w:t>    （3）提供虚假的项目负责人或者主要技术人员简历、劳动关系证明；</w:t>
      </w:r>
      <w:r>
        <w:rPr>
          <w:rFonts w:hint="eastAsia"/>
          <w:color w:val="auto"/>
        </w:rPr>
        <w:br w:type="textWrapping"/>
      </w:r>
      <w:r>
        <w:rPr>
          <w:rFonts w:hint="eastAsia"/>
          <w:color w:val="auto"/>
        </w:rPr>
        <w:t>    （4）提供虚假的信用状况；</w:t>
      </w:r>
      <w:r>
        <w:rPr>
          <w:rFonts w:hint="eastAsia"/>
          <w:color w:val="auto"/>
        </w:rPr>
        <w:br w:type="textWrapping"/>
      </w:r>
      <w:r>
        <w:rPr>
          <w:rFonts w:hint="eastAsia"/>
          <w:color w:val="auto"/>
        </w:rPr>
        <w:t>    （5）其他弄虚作假的行为。</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411" w:name="_Toc277082601"/>
      <w:bookmarkStart w:id="412" w:name="_Toc452058728"/>
      <w:bookmarkStart w:id="413" w:name="_Toc287620734"/>
      <w:bookmarkStart w:id="414" w:name="_Toc224103366"/>
      <w:bookmarkStart w:id="415" w:name="_Toc21051"/>
      <w:bookmarkStart w:id="416" w:name="_Toc200513175"/>
      <w:bookmarkStart w:id="417" w:name="_Toc386029694"/>
      <w:bookmarkStart w:id="418" w:name="_Toc287607795"/>
      <w:r>
        <w:rPr>
          <w:rFonts w:ascii="宋体" w:hAnsi="宋体"/>
          <w:b/>
          <w:snapToGrid w:val="0"/>
          <w:color w:val="auto"/>
          <w:kern w:val="0"/>
        </w:rPr>
        <w:t xml:space="preserve">9.3  </w:t>
      </w:r>
      <w:r>
        <w:rPr>
          <w:rFonts w:hint="eastAsia" w:ascii="宋体" w:hAnsi="宋体"/>
          <w:b/>
          <w:snapToGrid w:val="0"/>
          <w:color w:val="auto"/>
          <w:kern w:val="0"/>
        </w:rPr>
        <w:t>对评标委员会成员的纪律要求</w:t>
      </w:r>
      <w:bookmarkEnd w:id="411"/>
      <w:bookmarkEnd w:id="412"/>
      <w:bookmarkEnd w:id="413"/>
      <w:bookmarkEnd w:id="414"/>
      <w:bookmarkEnd w:id="415"/>
      <w:bookmarkEnd w:id="416"/>
      <w:bookmarkEnd w:id="417"/>
      <w:bookmarkEnd w:id="418"/>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outlineLvl w:val="9"/>
        <w:rPr>
          <w:rFonts w:ascii="宋体" w:hAnsi="宋体" w:cs="MingLiU"/>
          <w:snapToGrid w:val="0"/>
          <w:color w:val="auto"/>
          <w:kern w:val="0"/>
          <w:szCs w:val="21"/>
        </w:rPr>
      </w:pPr>
      <w:bookmarkStart w:id="419" w:name="_Toc200513176"/>
      <w:bookmarkStart w:id="420" w:name="_Toc277082602"/>
      <w:bookmarkStart w:id="421" w:name="_Toc26916"/>
      <w:bookmarkStart w:id="422" w:name="_Toc224103367"/>
      <w:bookmarkStart w:id="423" w:name="_Toc287607796"/>
      <w:bookmarkStart w:id="424" w:name="_Toc287620735"/>
      <w:bookmarkStart w:id="425" w:name="_Toc386029695"/>
      <w:r>
        <w:rPr>
          <w:rFonts w:hint="eastAsia" w:ascii="宋体" w:hAnsi="宋体" w:cs="MingLiU"/>
          <w:snapToGrid w:val="0"/>
          <w:color w:val="auto"/>
          <w:kern w:val="0"/>
          <w:szCs w:val="21"/>
        </w:rPr>
        <w:t>评标委员会成员不得收受他人的财物或者其他好处，不得向他人</w:t>
      </w:r>
      <w:r>
        <w:rPr>
          <w:rFonts w:hint="eastAsia" w:ascii="宋体" w:hAnsi="宋体" w:cs="MingLiU"/>
          <w:snapToGrid w:val="0"/>
          <w:color w:val="auto"/>
          <w:kern w:val="0"/>
          <w:szCs w:val="21"/>
          <w:lang w:eastAsia="zh-CN"/>
        </w:rPr>
        <w:t>透露</w:t>
      </w:r>
      <w:r>
        <w:rPr>
          <w:rFonts w:hint="eastAsia" w:ascii="宋体" w:hAnsi="宋体" w:cs="MingLiU"/>
          <w:snapToGrid w:val="0"/>
          <w:color w:val="auto"/>
          <w:kern w:val="0"/>
          <w:szCs w:val="21"/>
        </w:rPr>
        <w:t>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426" w:name="_Toc452058729"/>
      <w:r>
        <w:rPr>
          <w:rFonts w:ascii="宋体" w:hAnsi="宋体"/>
          <w:b/>
          <w:snapToGrid w:val="0"/>
          <w:color w:val="auto"/>
          <w:kern w:val="0"/>
        </w:rPr>
        <w:t xml:space="preserve">9.4  </w:t>
      </w:r>
      <w:r>
        <w:rPr>
          <w:rFonts w:hint="eastAsia" w:ascii="宋体" w:hAnsi="宋体"/>
          <w:b/>
          <w:snapToGrid w:val="0"/>
          <w:color w:val="auto"/>
          <w:kern w:val="0"/>
        </w:rPr>
        <w:t>对与评标活动有关的工作人员的纪律要求</w:t>
      </w:r>
      <w:bookmarkEnd w:id="419"/>
      <w:bookmarkEnd w:id="420"/>
      <w:bookmarkEnd w:id="421"/>
      <w:bookmarkEnd w:id="422"/>
      <w:bookmarkEnd w:id="423"/>
      <w:bookmarkEnd w:id="424"/>
      <w:bookmarkEnd w:id="425"/>
      <w:bookmarkEnd w:id="426"/>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outlineLvl w:val="9"/>
        <w:rPr>
          <w:rFonts w:ascii="宋体" w:hAnsi="宋体" w:cs="MingLiU"/>
          <w:snapToGrid w:val="0"/>
          <w:color w:val="auto"/>
          <w:kern w:val="0"/>
          <w:szCs w:val="21"/>
        </w:rPr>
      </w:pPr>
      <w:bookmarkStart w:id="427" w:name="_Toc287607797"/>
      <w:bookmarkStart w:id="428" w:name="_Toc200513177"/>
      <w:bookmarkStart w:id="429" w:name="_Toc386029696"/>
      <w:bookmarkStart w:id="430" w:name="_Toc224103368"/>
      <w:bookmarkStart w:id="431" w:name="_Toc20460"/>
      <w:bookmarkStart w:id="432" w:name="_Toc287620736"/>
      <w:bookmarkStart w:id="433" w:name="_Toc277082603"/>
      <w:r>
        <w:rPr>
          <w:rFonts w:hint="eastAsia" w:ascii="宋体" w:hAnsi="宋体" w:cs="MingLiU"/>
          <w:snapToGrid w:val="0"/>
          <w:color w:val="auto"/>
          <w:kern w:val="0"/>
          <w:szCs w:val="21"/>
        </w:rPr>
        <w:t>与评标活动有关的工作人员不得收受他人的财物或者其他好处，不得向他人</w:t>
      </w:r>
      <w:r>
        <w:rPr>
          <w:rFonts w:hint="eastAsia" w:ascii="宋体" w:hAnsi="宋体" w:cs="MingLiU"/>
          <w:snapToGrid w:val="0"/>
          <w:color w:val="auto"/>
          <w:kern w:val="0"/>
          <w:szCs w:val="21"/>
          <w:lang w:eastAsia="zh-CN"/>
        </w:rPr>
        <w:t>透露</w:t>
      </w:r>
      <w:r>
        <w:rPr>
          <w:rFonts w:hint="eastAsia" w:ascii="宋体" w:hAnsi="宋体" w:cs="MingLiU"/>
          <w:snapToGrid w:val="0"/>
          <w:color w:val="auto"/>
          <w:kern w:val="0"/>
          <w:szCs w:val="21"/>
        </w:rPr>
        <w:t>对投标文件的评审和比较、中标候选人的推荐情况以及评标有关的其他情况。在评标活动中，与评标活动有关的工作人员不得擅离职守，影响评标程序正常进行。</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hint="eastAsia" w:ascii="宋体" w:hAnsi="宋体"/>
          <w:b/>
          <w:snapToGrid w:val="0"/>
          <w:color w:val="auto"/>
          <w:kern w:val="0"/>
        </w:rPr>
      </w:pPr>
      <w:bookmarkStart w:id="434" w:name="_Toc452058730"/>
      <w:r>
        <w:rPr>
          <w:rFonts w:ascii="宋体" w:hAnsi="宋体"/>
          <w:b/>
          <w:snapToGrid w:val="0"/>
          <w:color w:val="auto"/>
          <w:kern w:val="0"/>
        </w:rPr>
        <w:t xml:space="preserve">9.5  </w:t>
      </w:r>
      <w:r>
        <w:rPr>
          <w:rFonts w:hint="eastAsia" w:ascii="宋体" w:hAnsi="宋体"/>
          <w:b/>
          <w:snapToGrid w:val="0"/>
          <w:color w:val="auto"/>
          <w:kern w:val="0"/>
        </w:rPr>
        <w:t>投诉</w:t>
      </w:r>
      <w:bookmarkEnd w:id="427"/>
      <w:bookmarkEnd w:id="428"/>
      <w:bookmarkEnd w:id="429"/>
      <w:bookmarkEnd w:id="430"/>
      <w:bookmarkEnd w:id="431"/>
      <w:bookmarkEnd w:id="432"/>
      <w:bookmarkEnd w:id="433"/>
      <w:bookmarkEnd w:id="434"/>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outlineLvl w:val="9"/>
        <w:rPr>
          <w:rFonts w:hint="eastAsia" w:ascii="宋体" w:hAnsi="宋体" w:cs="MingLiU"/>
          <w:snapToGrid w:val="0"/>
          <w:color w:val="auto"/>
          <w:kern w:val="0"/>
          <w:szCs w:val="21"/>
        </w:rPr>
      </w:pPr>
      <w:r>
        <w:rPr>
          <w:rFonts w:hint="eastAsia" w:ascii="宋体" w:hAnsi="宋体" w:cs="MingLiU"/>
          <w:snapToGrid w:val="0"/>
          <w:color w:val="auto"/>
          <w:kern w:val="0"/>
          <w:szCs w:val="21"/>
        </w:rPr>
        <w:t>投标人和其他利害关系人认为本次招标活动违反法律、法规和规章规定的，有权向有关行政监督部门投诉。</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435" w:name="_Toc5118"/>
      <w:bookmarkStart w:id="436" w:name="_Toc277082604"/>
      <w:bookmarkStart w:id="437" w:name="_Toc25996"/>
      <w:bookmarkStart w:id="438" w:name="_Toc287620737"/>
      <w:bookmarkStart w:id="439" w:name="_Toc452058731"/>
      <w:bookmarkStart w:id="440" w:name="_Toc224103369"/>
      <w:bookmarkStart w:id="441" w:name="_Toc200513178"/>
      <w:bookmarkStart w:id="442" w:name="_Toc287607798"/>
      <w:bookmarkStart w:id="443" w:name="_Toc386029697"/>
      <w:r>
        <w:rPr>
          <w:rFonts w:ascii="宋体" w:hAnsi="宋体"/>
          <w:b/>
          <w:snapToGrid w:val="0"/>
          <w:color w:val="auto"/>
          <w:kern w:val="0"/>
        </w:rPr>
        <w:t xml:space="preserve">10. </w:t>
      </w:r>
      <w:r>
        <w:rPr>
          <w:rFonts w:hint="eastAsia" w:ascii="宋体" w:hAnsi="宋体"/>
          <w:b/>
          <w:snapToGrid w:val="0"/>
          <w:color w:val="auto"/>
          <w:kern w:val="0"/>
        </w:rPr>
        <w:t>需要补充的其他内容</w:t>
      </w:r>
      <w:bookmarkEnd w:id="435"/>
      <w:bookmarkEnd w:id="436"/>
      <w:bookmarkEnd w:id="437"/>
      <w:bookmarkEnd w:id="438"/>
      <w:bookmarkEnd w:id="439"/>
      <w:bookmarkEnd w:id="440"/>
      <w:bookmarkEnd w:id="441"/>
      <w:bookmarkEnd w:id="442"/>
      <w:bookmarkEnd w:id="443"/>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jc w:val="left"/>
        <w:textAlignment w:val="auto"/>
        <w:outlineLvl w:val="9"/>
        <w:rPr>
          <w:rFonts w:hint="eastAsia" w:ascii="宋体" w:hAnsi="宋体" w:cs="MingLiU"/>
          <w:snapToGrid w:val="0"/>
          <w:color w:val="auto"/>
          <w:kern w:val="0"/>
          <w:szCs w:val="21"/>
        </w:rPr>
      </w:pPr>
      <w:r>
        <w:rPr>
          <w:rFonts w:hint="eastAsia" w:ascii="宋体" w:hAnsi="宋体" w:cs="MingLiU"/>
          <w:snapToGrid w:val="0"/>
          <w:color w:val="auto"/>
          <w:kern w:val="0"/>
          <w:szCs w:val="21"/>
        </w:rPr>
        <w:t>需要补充的其他内容：见投标人须知前附表。</w:t>
      </w:r>
    </w:p>
    <w:p>
      <w:pPr>
        <w:pageBreakBefore w:val="0"/>
        <w:widowControl w:val="0"/>
        <w:kinsoku/>
        <w:wordWrap/>
        <w:overflowPunct/>
        <w:topLinePunct w:val="0"/>
        <w:bidi w:val="0"/>
        <w:spacing w:line="380" w:lineRule="exact"/>
        <w:jc w:val="left"/>
        <w:textAlignment w:val="auto"/>
        <w:rPr>
          <w:rFonts w:hint="eastAsia" w:ascii="宋体" w:hAnsi="宋体" w:cs="MingLiU"/>
          <w:color w:val="auto"/>
          <w:kern w:val="0"/>
          <w:sz w:val="24"/>
        </w:rPr>
      </w:pPr>
    </w:p>
    <w:p>
      <w:pPr>
        <w:pStyle w:val="5"/>
        <w:pageBreakBefore w:val="0"/>
        <w:widowControl w:val="0"/>
        <w:kinsoku/>
        <w:wordWrap/>
        <w:overflowPunct/>
        <w:topLinePunct w:val="0"/>
        <w:bidi w:val="0"/>
        <w:spacing w:before="0" w:beforeLines="0" w:after="0" w:afterLines="0" w:line="380" w:lineRule="exact"/>
        <w:jc w:val="center"/>
        <w:textAlignment w:val="auto"/>
        <w:rPr>
          <w:rFonts w:hint="eastAsia" w:ascii="宋体" w:hAnsi="宋体"/>
          <w:bCs w:val="0"/>
          <w:color w:val="auto"/>
          <w:kern w:val="0"/>
          <w:sz w:val="36"/>
          <w:szCs w:val="36"/>
        </w:rPr>
      </w:pPr>
      <w:bookmarkStart w:id="444" w:name="招标文件03章02评标办法综合评估法"/>
      <w:bookmarkEnd w:id="444"/>
      <w:bookmarkStart w:id="445" w:name="招标文件03章02评标办法综合评估法00"/>
      <w:bookmarkEnd w:id="445"/>
      <w:bookmarkStart w:id="446" w:name="_Toc31654"/>
      <w:bookmarkStart w:id="447" w:name="_Toc287607799"/>
      <w:bookmarkStart w:id="448" w:name="_Toc452058732"/>
      <w:bookmarkStart w:id="449" w:name="_Toc277082605"/>
      <w:bookmarkStart w:id="450" w:name="_Toc513492489"/>
      <w:bookmarkStart w:id="451" w:name="_Toc287620738"/>
      <w:bookmarkStart w:id="452" w:name="_Toc287620749"/>
      <w:bookmarkStart w:id="453" w:name="_Toc287607810"/>
    </w:p>
    <w:p>
      <w:pPr>
        <w:pStyle w:val="5"/>
        <w:pageBreakBefore w:val="0"/>
        <w:widowControl w:val="0"/>
        <w:kinsoku/>
        <w:wordWrap/>
        <w:overflowPunct/>
        <w:topLinePunct w:val="0"/>
        <w:bidi w:val="0"/>
        <w:spacing w:before="0" w:beforeLines="0" w:after="0" w:afterLines="0" w:line="380" w:lineRule="exact"/>
        <w:jc w:val="center"/>
        <w:textAlignment w:val="auto"/>
        <w:rPr>
          <w:rFonts w:hint="eastAsia" w:ascii="宋体" w:hAnsi="宋体"/>
          <w:bCs w:val="0"/>
          <w:color w:val="auto"/>
          <w:kern w:val="0"/>
          <w:sz w:val="36"/>
          <w:szCs w:val="36"/>
        </w:rPr>
      </w:pPr>
    </w:p>
    <w:p>
      <w:pPr>
        <w:pStyle w:val="5"/>
        <w:pageBreakBefore w:val="0"/>
        <w:widowControl w:val="0"/>
        <w:kinsoku/>
        <w:wordWrap/>
        <w:overflowPunct/>
        <w:topLinePunct w:val="0"/>
        <w:bidi w:val="0"/>
        <w:spacing w:before="0" w:beforeLines="0" w:after="0" w:afterLines="0" w:line="380" w:lineRule="exact"/>
        <w:jc w:val="both"/>
        <w:textAlignment w:val="auto"/>
        <w:rPr>
          <w:rFonts w:hint="eastAsia" w:ascii="宋体" w:hAnsi="宋体"/>
          <w:bCs w:val="0"/>
          <w:color w:val="auto"/>
          <w:kern w:val="0"/>
          <w:sz w:val="36"/>
          <w:szCs w:val="36"/>
        </w:rPr>
      </w:pPr>
    </w:p>
    <w:p>
      <w:pPr>
        <w:pageBreakBefore w:val="0"/>
        <w:widowControl w:val="0"/>
        <w:kinsoku/>
        <w:wordWrap/>
        <w:overflowPunct/>
        <w:topLinePunct w:val="0"/>
        <w:bidi w:val="0"/>
        <w:spacing w:line="380" w:lineRule="exact"/>
        <w:textAlignment w:val="auto"/>
        <w:rPr>
          <w:rFonts w:hint="eastAsia" w:ascii="宋体" w:hAnsi="宋体"/>
          <w:bCs/>
          <w:color w:val="auto"/>
          <w:kern w:val="0"/>
          <w:sz w:val="36"/>
          <w:szCs w:val="36"/>
        </w:rPr>
      </w:pPr>
    </w:p>
    <w:p>
      <w:pPr>
        <w:pageBreakBefore w:val="0"/>
        <w:widowControl w:val="0"/>
        <w:kinsoku/>
        <w:wordWrap/>
        <w:overflowPunct/>
        <w:topLinePunct w:val="0"/>
        <w:bidi w:val="0"/>
        <w:spacing w:line="380" w:lineRule="exact"/>
        <w:textAlignment w:val="auto"/>
        <w:rPr>
          <w:rFonts w:hint="eastAsia" w:ascii="宋体" w:hAnsi="宋体"/>
          <w:bCs/>
          <w:color w:val="auto"/>
          <w:kern w:val="0"/>
          <w:sz w:val="36"/>
          <w:szCs w:val="36"/>
        </w:rPr>
      </w:pPr>
    </w:p>
    <w:p>
      <w:pPr>
        <w:pageBreakBefore w:val="0"/>
        <w:widowControl w:val="0"/>
        <w:kinsoku/>
        <w:wordWrap/>
        <w:overflowPunct/>
        <w:topLinePunct w:val="0"/>
        <w:bidi w:val="0"/>
        <w:spacing w:line="380" w:lineRule="exact"/>
        <w:textAlignment w:val="auto"/>
        <w:rPr>
          <w:rFonts w:hint="eastAsia" w:ascii="宋体" w:hAnsi="宋体"/>
          <w:bCs/>
          <w:color w:val="auto"/>
          <w:kern w:val="0"/>
          <w:sz w:val="36"/>
          <w:szCs w:val="36"/>
        </w:rPr>
      </w:pPr>
    </w:p>
    <w:p>
      <w:pPr>
        <w:pageBreakBefore w:val="0"/>
        <w:widowControl w:val="0"/>
        <w:kinsoku/>
        <w:wordWrap/>
        <w:overflowPunct/>
        <w:topLinePunct w:val="0"/>
        <w:bidi w:val="0"/>
        <w:spacing w:line="380" w:lineRule="exact"/>
        <w:textAlignment w:val="auto"/>
        <w:rPr>
          <w:rFonts w:hint="eastAsia" w:ascii="宋体" w:hAnsi="宋体"/>
          <w:bCs/>
          <w:color w:val="auto"/>
          <w:kern w:val="0"/>
          <w:sz w:val="36"/>
          <w:szCs w:val="36"/>
        </w:rPr>
      </w:pPr>
    </w:p>
    <w:p>
      <w:pPr>
        <w:pageBreakBefore w:val="0"/>
        <w:widowControl w:val="0"/>
        <w:kinsoku/>
        <w:wordWrap/>
        <w:overflowPunct/>
        <w:topLinePunct w:val="0"/>
        <w:bidi w:val="0"/>
        <w:spacing w:line="380" w:lineRule="exact"/>
        <w:textAlignment w:val="auto"/>
        <w:rPr>
          <w:rFonts w:hint="eastAsia" w:ascii="宋体" w:hAnsi="宋体"/>
          <w:bCs/>
          <w:color w:val="auto"/>
          <w:kern w:val="0"/>
          <w:sz w:val="36"/>
          <w:szCs w:val="36"/>
        </w:rPr>
      </w:pPr>
    </w:p>
    <w:p>
      <w:pPr>
        <w:rPr>
          <w:rFonts w:hint="eastAsia"/>
          <w:color w:val="auto"/>
        </w:rPr>
      </w:pPr>
    </w:p>
    <w:bookmarkEnd w:id="446"/>
    <w:bookmarkEnd w:id="447"/>
    <w:bookmarkEnd w:id="448"/>
    <w:bookmarkEnd w:id="449"/>
    <w:bookmarkEnd w:id="450"/>
    <w:bookmarkEnd w:id="451"/>
    <w:p>
      <w:pPr>
        <w:pStyle w:val="5"/>
        <w:pageBreakBefore w:val="0"/>
        <w:widowControl w:val="0"/>
        <w:kinsoku/>
        <w:wordWrap/>
        <w:overflowPunct/>
        <w:topLinePunct w:val="0"/>
        <w:bidi w:val="0"/>
        <w:spacing w:before="0" w:after="0" w:line="400" w:lineRule="exact"/>
        <w:jc w:val="center"/>
        <w:textAlignment w:val="auto"/>
        <w:rPr>
          <w:rFonts w:ascii="宋体" w:hAnsi="宋体"/>
          <w:snapToGrid w:val="0"/>
          <w:kern w:val="0"/>
        </w:rPr>
      </w:pPr>
      <w:bookmarkStart w:id="454" w:name="_Toc513492490"/>
      <w:bookmarkStart w:id="455" w:name="_Toc452058737"/>
      <w:r>
        <w:rPr>
          <w:rFonts w:ascii="宋体" w:hAnsi="宋体"/>
          <w:snapToGrid w:val="0"/>
          <w:color w:val="auto"/>
          <w:kern w:val="0"/>
          <w:highlight w:val="none"/>
        </w:rPr>
        <w:br w:type="page"/>
      </w:r>
      <w:bookmarkStart w:id="456" w:name="_Toc6580"/>
      <w:r>
        <w:rPr>
          <w:rFonts w:ascii="宋体" w:hAnsi="宋体"/>
          <w:snapToGrid w:val="0"/>
          <w:kern w:val="0"/>
          <w:sz w:val="32"/>
          <w:szCs w:val="32"/>
        </w:rPr>
        <w:t xml:space="preserve">第三章 </w:t>
      </w:r>
      <w:r>
        <w:rPr>
          <w:rFonts w:hint="eastAsia" w:ascii="宋体" w:hAnsi="宋体"/>
          <w:snapToGrid w:val="0"/>
          <w:kern w:val="0"/>
          <w:sz w:val="32"/>
          <w:szCs w:val="32"/>
        </w:rPr>
        <w:t xml:space="preserve"> </w:t>
      </w:r>
      <w:r>
        <w:rPr>
          <w:rFonts w:ascii="宋体" w:hAnsi="宋体"/>
          <w:snapToGrid w:val="0"/>
          <w:kern w:val="0"/>
          <w:sz w:val="32"/>
          <w:szCs w:val="32"/>
        </w:rPr>
        <w:t>评标办法（</w:t>
      </w:r>
      <w:r>
        <w:rPr>
          <w:rFonts w:hint="eastAsia" w:ascii="宋体" w:hAnsi="宋体"/>
          <w:snapToGrid w:val="0"/>
          <w:kern w:val="0"/>
          <w:sz w:val="32"/>
          <w:szCs w:val="32"/>
        </w:rPr>
        <w:t>经评审的最低投标价法</w:t>
      </w:r>
      <w:r>
        <w:rPr>
          <w:rFonts w:ascii="宋体" w:hAnsi="宋体"/>
          <w:snapToGrid w:val="0"/>
          <w:kern w:val="0"/>
          <w:sz w:val="32"/>
          <w:szCs w:val="32"/>
        </w:rPr>
        <w:t>）</w:t>
      </w:r>
      <w:bookmarkEnd w:id="456"/>
    </w:p>
    <w:p>
      <w:pPr>
        <w:keepNext/>
        <w:keepLines/>
        <w:pageBreakBefore w:val="0"/>
        <w:widowControl w:val="0"/>
        <w:kinsoku/>
        <w:wordWrap/>
        <w:overflowPunct/>
        <w:topLinePunct w:val="0"/>
        <w:bidi w:val="0"/>
        <w:spacing w:line="400" w:lineRule="exact"/>
        <w:textAlignment w:val="auto"/>
        <w:outlineLvl w:val="1"/>
        <w:rPr>
          <w:rFonts w:ascii="宋体" w:hAnsi="宋体"/>
          <w:b/>
          <w:sz w:val="28"/>
          <w:szCs w:val="28"/>
        </w:rPr>
      </w:pPr>
      <w:bookmarkStart w:id="457" w:name="_Toc1584"/>
      <w:r>
        <w:rPr>
          <w:rFonts w:hint="eastAsia" w:ascii="宋体" w:hAnsi="宋体"/>
          <w:b/>
          <w:sz w:val="28"/>
          <w:szCs w:val="28"/>
        </w:rPr>
        <w:t>评标办法前附表</w:t>
      </w:r>
      <w:bookmarkEnd w:id="457"/>
    </w:p>
    <w:p>
      <w:pPr>
        <w:pageBreakBefore w:val="0"/>
        <w:widowControl w:val="0"/>
        <w:kinsoku/>
        <w:wordWrap/>
        <w:overflowPunct/>
        <w:topLinePunct w:val="0"/>
        <w:bidi w:val="0"/>
        <w:spacing w:line="400" w:lineRule="exact"/>
        <w:ind w:firstLine="427" w:firstLineChars="196"/>
        <w:textAlignment w:val="auto"/>
        <w:rPr>
          <w:rFonts w:ascii="宋体" w:hAnsi="宋体"/>
          <w:spacing w:val="4"/>
          <w:kern w:val="0"/>
          <w:szCs w:val="21"/>
        </w:rPr>
      </w:pPr>
      <w:bookmarkStart w:id="458" w:name="_Toc13210726"/>
      <w:r>
        <w:rPr>
          <w:rFonts w:ascii="宋体" w:hAnsi="宋体"/>
          <w:spacing w:val="4"/>
          <w:kern w:val="0"/>
          <w:szCs w:val="21"/>
        </w:rPr>
        <w:t>评标办法中的评审内容必须和投标人须知中的对应内容一致，若投标人须知中未作要求的内容，不得列入评标办法作为评定依据。</w:t>
      </w:r>
      <w:bookmarkEnd w:id="458"/>
    </w:p>
    <w:tbl>
      <w:tblPr>
        <w:tblStyle w:val="53"/>
        <w:tblW w:w="9735"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1545"/>
        <w:gridCol w:w="2565"/>
        <w:gridCol w:w="4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900" w:type="dxa"/>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b/>
                <w:kern w:val="0"/>
              </w:rPr>
            </w:pPr>
            <w:r>
              <w:rPr>
                <w:rFonts w:ascii="宋体" w:hAnsi="宋体"/>
                <w:b/>
                <w:kern w:val="0"/>
              </w:rPr>
              <w:t>条款号</w:t>
            </w:r>
          </w:p>
        </w:tc>
        <w:tc>
          <w:tcPr>
            <w:tcW w:w="1545" w:type="dxa"/>
            <w:tcBorders>
              <w:lef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b/>
                <w:kern w:val="0"/>
              </w:rPr>
            </w:pPr>
            <w:r>
              <w:rPr>
                <w:rFonts w:ascii="宋体" w:hAnsi="宋体"/>
                <w:b/>
                <w:kern w:val="0"/>
              </w:rPr>
              <w:t>评审因素</w:t>
            </w:r>
          </w:p>
        </w:tc>
        <w:tc>
          <w:tcPr>
            <w:tcW w:w="7290" w:type="dxa"/>
            <w:gridSpan w:val="2"/>
            <w:noWrap w:val="0"/>
            <w:vAlign w:val="center"/>
          </w:tcPr>
          <w:p>
            <w:pPr>
              <w:pageBreakBefore w:val="0"/>
              <w:widowControl w:val="0"/>
              <w:kinsoku/>
              <w:wordWrap/>
              <w:overflowPunct/>
              <w:topLinePunct w:val="0"/>
              <w:bidi w:val="0"/>
              <w:spacing w:line="400" w:lineRule="exact"/>
              <w:jc w:val="center"/>
              <w:textAlignment w:val="auto"/>
              <w:rPr>
                <w:rFonts w:ascii="宋体" w:hAnsi="宋体"/>
                <w:b/>
                <w:kern w:val="0"/>
              </w:rPr>
            </w:pPr>
            <w:r>
              <w:rPr>
                <w:rFonts w:ascii="宋体" w:hAnsi="宋体"/>
                <w:b/>
                <w:kern w:val="0"/>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900" w:type="dxa"/>
            <w:tcBorders>
              <w:right w:val="single" w:color="auto" w:sz="4" w:space="0"/>
            </w:tcBorders>
            <w:noWrap w:val="0"/>
            <w:vAlign w:val="center"/>
          </w:tcPr>
          <w:p>
            <w:pPr>
              <w:pStyle w:val="259"/>
              <w:pageBreakBefore w:val="0"/>
              <w:widowControl w:val="0"/>
              <w:kinsoku/>
              <w:wordWrap/>
              <w:overflowPunct/>
              <w:topLinePunct w:val="0"/>
              <w:bidi w:val="0"/>
              <w:spacing w:line="400" w:lineRule="exact"/>
              <w:ind w:left="0" w:leftChars="0" w:firstLine="0" w:firstLineChars="0"/>
              <w:jc w:val="center"/>
              <w:textAlignment w:val="auto"/>
              <w:rPr>
                <w:sz w:val="21"/>
                <w:szCs w:val="21"/>
              </w:rPr>
            </w:pPr>
            <w:r>
              <w:rPr>
                <w:sz w:val="21"/>
                <w:szCs w:val="21"/>
              </w:rPr>
              <w:t>1</w:t>
            </w:r>
          </w:p>
        </w:tc>
        <w:tc>
          <w:tcPr>
            <w:tcW w:w="1545" w:type="dxa"/>
            <w:tcBorders>
              <w:left w:val="single" w:color="auto" w:sz="4" w:space="0"/>
            </w:tcBorders>
            <w:noWrap w:val="0"/>
            <w:vAlign w:val="center"/>
          </w:tcPr>
          <w:p>
            <w:pPr>
              <w:pStyle w:val="259"/>
              <w:pageBreakBefore w:val="0"/>
              <w:widowControl w:val="0"/>
              <w:kinsoku/>
              <w:wordWrap/>
              <w:overflowPunct/>
              <w:topLinePunct w:val="0"/>
              <w:bidi w:val="0"/>
              <w:spacing w:line="400" w:lineRule="exact"/>
              <w:ind w:firstLine="0" w:firstLineChars="0"/>
              <w:jc w:val="center"/>
              <w:textAlignment w:val="auto"/>
              <w:rPr>
                <w:sz w:val="21"/>
                <w:szCs w:val="21"/>
              </w:rPr>
            </w:pPr>
            <w:r>
              <w:rPr>
                <w:rFonts w:hint="eastAsia"/>
                <w:sz w:val="21"/>
                <w:szCs w:val="21"/>
              </w:rPr>
              <w:t>评标办法</w:t>
            </w:r>
          </w:p>
        </w:tc>
        <w:tc>
          <w:tcPr>
            <w:tcW w:w="7290" w:type="dxa"/>
            <w:gridSpan w:val="2"/>
            <w:noWrap w:val="0"/>
            <w:vAlign w:val="center"/>
          </w:tcPr>
          <w:p>
            <w:pPr>
              <w:pageBreakBefore w:val="0"/>
              <w:widowControl w:val="0"/>
              <w:kinsoku/>
              <w:wordWrap/>
              <w:overflowPunct/>
              <w:topLinePunct w:val="0"/>
              <w:bidi w:val="0"/>
              <w:spacing w:line="400" w:lineRule="exact"/>
              <w:ind w:firstLine="427" w:firstLineChars="196"/>
              <w:textAlignment w:val="auto"/>
              <w:rPr>
                <w:rFonts w:ascii="宋体" w:hAnsi="宋体"/>
                <w:spacing w:val="4"/>
                <w:kern w:val="0"/>
                <w:szCs w:val="21"/>
              </w:rPr>
            </w:pPr>
            <w:r>
              <w:rPr>
                <w:rFonts w:hint="eastAsia" w:ascii="宋体" w:hAnsi="宋体"/>
                <w:spacing w:val="4"/>
                <w:kern w:val="0"/>
                <w:szCs w:val="21"/>
              </w:rPr>
              <w:t>本次评标采用经评审的最低投标价法，评标委员会按照本章第2.1款进行报价排序，按照本章第2.2款进行符合性审查，符合性审查合格的投标人中按报价由低到高推荐中标候选人</w:t>
            </w:r>
            <w:r>
              <w:rPr>
                <w:rFonts w:hint="eastAsia" w:ascii="宋体" w:hAnsi="宋体"/>
                <w:strike w:val="0"/>
                <w:dstrike w:val="0"/>
                <w:color w:val="auto"/>
                <w:spacing w:val="4"/>
                <w:kern w:val="0"/>
                <w:szCs w:val="21"/>
              </w:rPr>
              <w:t>，或根据招标人授权直接确定中标人</w:t>
            </w:r>
            <w:r>
              <w:rPr>
                <w:rFonts w:hint="eastAsia" w:ascii="宋体" w:hAnsi="宋体"/>
                <w:spacing w:val="4"/>
                <w:kern w:val="0"/>
                <w:szCs w:val="21"/>
              </w:rPr>
              <w:t>。若出现投标人投标报价相同的，以“投标人在红名单中优先”的原则排序，投标人是否属于红名单，以开标环节信用状况查询结果为准；投标人均在红名单中或均不在红名单中的，由评标委员会</w:t>
            </w:r>
            <w:r>
              <w:rPr>
                <w:rFonts w:ascii="宋体" w:hAnsi="宋体" w:cs="宋体"/>
                <w:spacing w:val="-7"/>
                <w:u w:val="single"/>
              </w:rPr>
              <w:t>全体成员</w:t>
            </w:r>
            <w:r>
              <w:rPr>
                <w:rFonts w:ascii="宋体" w:hAnsi="宋体" w:cs="宋体"/>
                <w:u w:val="single"/>
              </w:rPr>
              <w:t>投票，并按</w:t>
            </w:r>
            <w:r>
              <w:rPr>
                <w:rFonts w:hint="eastAsia" w:ascii="宋体" w:hAnsi="宋体" w:cs="宋体"/>
                <w:u w:val="single"/>
              </w:rPr>
              <w:t>简单</w:t>
            </w:r>
            <w:r>
              <w:rPr>
                <w:rFonts w:ascii="宋体" w:hAnsi="宋体" w:cs="宋体"/>
                <w:u w:val="single"/>
              </w:rPr>
              <w:t>多数</w:t>
            </w:r>
            <w:r>
              <w:rPr>
                <w:rFonts w:hint="eastAsia" w:ascii="宋体" w:hAnsi="宋体"/>
                <w:spacing w:val="4"/>
                <w:kern w:val="0"/>
                <w:szCs w:val="21"/>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r>
              <w:rPr>
                <w:rFonts w:hint="eastAsia" w:ascii="宋体" w:hAnsi="宋体"/>
                <w:kern w:val="0"/>
              </w:rPr>
              <w:t>2.1</w:t>
            </w:r>
          </w:p>
        </w:tc>
        <w:tc>
          <w:tcPr>
            <w:tcW w:w="1545" w:type="dxa"/>
            <w:tcBorders>
              <w:left w:val="single" w:color="auto" w:sz="4" w:space="0"/>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r>
              <w:rPr>
                <w:rFonts w:ascii="宋体" w:hAnsi="宋体"/>
                <w:kern w:val="0"/>
              </w:rPr>
              <w:t>报价</w:t>
            </w:r>
            <w:r>
              <w:rPr>
                <w:rFonts w:hint="eastAsia" w:ascii="宋体" w:hAnsi="宋体"/>
                <w:kern w:val="0"/>
              </w:rPr>
              <w:t>排序</w:t>
            </w:r>
          </w:p>
        </w:tc>
        <w:tc>
          <w:tcPr>
            <w:tcW w:w="7290" w:type="dxa"/>
            <w:gridSpan w:val="2"/>
            <w:tcBorders>
              <w:left w:val="single" w:color="auto" w:sz="4" w:space="0"/>
            </w:tcBorders>
            <w:noWrap w:val="0"/>
            <w:vAlign w:val="center"/>
          </w:tcPr>
          <w:p>
            <w:pPr>
              <w:pageBreakBefore w:val="0"/>
              <w:widowControl w:val="0"/>
              <w:kinsoku/>
              <w:wordWrap/>
              <w:overflowPunct/>
              <w:topLinePunct w:val="0"/>
              <w:bidi w:val="0"/>
              <w:spacing w:line="400" w:lineRule="exact"/>
              <w:ind w:firstLine="420" w:firstLineChars="200"/>
              <w:jc w:val="left"/>
              <w:textAlignment w:val="auto"/>
              <w:rPr>
                <w:rFonts w:ascii="宋体" w:hAnsi="宋体"/>
                <w:kern w:val="0"/>
              </w:rPr>
            </w:pPr>
            <w:r>
              <w:rPr>
                <w:rFonts w:hint="eastAsia" w:ascii="宋体" w:hAnsi="宋体"/>
                <w:kern w:val="0"/>
              </w:rPr>
              <w:t>对报价不高于最高限价的所有投标人的投标文件，按照报价由低到高的顺序排列。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r>
              <w:rPr>
                <w:rFonts w:hint="eastAsia" w:ascii="宋体" w:hAnsi="宋体"/>
                <w:kern w:val="0"/>
              </w:rPr>
              <w:t>2.2</w:t>
            </w:r>
          </w:p>
        </w:tc>
        <w:tc>
          <w:tcPr>
            <w:tcW w:w="1545" w:type="dxa"/>
            <w:tcBorders>
              <w:left w:val="single" w:color="auto" w:sz="4" w:space="0"/>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r>
              <w:rPr>
                <w:rFonts w:hint="eastAsia" w:ascii="宋体" w:hAnsi="宋体"/>
                <w:kern w:val="0"/>
              </w:rPr>
              <w:t>符合性审查</w:t>
            </w:r>
          </w:p>
        </w:tc>
        <w:tc>
          <w:tcPr>
            <w:tcW w:w="7290" w:type="dxa"/>
            <w:gridSpan w:val="2"/>
            <w:tcBorders>
              <w:left w:val="single" w:color="auto" w:sz="4" w:space="0"/>
            </w:tcBorders>
            <w:noWrap w:val="0"/>
            <w:vAlign w:val="center"/>
          </w:tcPr>
          <w:p>
            <w:pPr>
              <w:pageBreakBefore w:val="0"/>
              <w:widowControl w:val="0"/>
              <w:kinsoku/>
              <w:wordWrap/>
              <w:overflowPunct/>
              <w:topLinePunct w:val="0"/>
              <w:bidi w:val="0"/>
              <w:spacing w:line="400" w:lineRule="exact"/>
              <w:ind w:firstLine="420" w:firstLineChars="200"/>
              <w:jc w:val="left"/>
              <w:textAlignment w:val="auto"/>
              <w:rPr>
                <w:rFonts w:ascii="宋体" w:hAnsi="宋体"/>
                <w:kern w:val="0"/>
              </w:rPr>
            </w:pPr>
            <w:r>
              <w:rPr>
                <w:rFonts w:hint="eastAsia" w:ascii="宋体" w:hAnsi="宋体"/>
                <w:kern w:val="0"/>
              </w:rPr>
              <w:t>取报价排序前</w:t>
            </w:r>
            <w:r>
              <w:rPr>
                <w:rFonts w:hint="eastAsia"/>
              </w:rPr>
              <w:t>☑</w:t>
            </w:r>
            <w:r>
              <w:rPr>
                <w:rFonts w:hint="eastAsia"/>
                <w:lang w:val="en-US" w:eastAsia="zh-CN"/>
              </w:rPr>
              <w:t xml:space="preserve"> </w:t>
            </w:r>
            <w:r>
              <w:rPr>
                <w:rFonts w:hint="eastAsia" w:ascii="宋体" w:hAnsi="宋体"/>
                <w:kern w:val="0"/>
                <w:lang w:val="en-US" w:eastAsia="zh-CN"/>
              </w:rPr>
              <w:t>7</w:t>
            </w:r>
            <w:r>
              <w:rPr>
                <w:rFonts w:hint="eastAsia" w:ascii="宋体" w:hAnsi="宋体"/>
                <w:kern w:val="0"/>
              </w:rPr>
              <w:t>名（若实际投标人数量小于勾选数量，</w:t>
            </w:r>
            <w:r>
              <w:rPr>
                <w:rFonts w:hint="eastAsia" w:ascii="宋体" w:hAnsi="宋体"/>
                <w:spacing w:val="4"/>
                <w:kern w:val="0"/>
                <w:szCs w:val="21"/>
              </w:rPr>
              <w:t>则全部纳入）进行符合性审查。符合性审查内容：资格评审、形式评审、响应性评审、投标函部分及经济部分评审。符合性审查</w:t>
            </w:r>
            <w:r>
              <w:rPr>
                <w:rFonts w:hint="eastAsia" w:ascii="宋体" w:hAnsi="宋体"/>
                <w:kern w:val="0"/>
              </w:rPr>
              <w:t>合格的投标人中，报价最低的成为第一中标候选人，报价次低的成为第二中标候选人，</w:t>
            </w:r>
            <w:r>
              <w:rPr>
                <w:rFonts w:hint="eastAsia" w:ascii="宋体" w:hAnsi="宋体"/>
                <w:kern w:val="0"/>
                <w:lang w:eastAsia="zh-CN"/>
              </w:rPr>
              <w:t>依次类推</w:t>
            </w:r>
            <w:r>
              <w:rPr>
                <w:rFonts w:hint="eastAsia" w:ascii="宋体" w:hAnsi="宋体"/>
                <w:kern w:val="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00" w:type="dxa"/>
            <w:vMerge w:val="restart"/>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cs="宋体"/>
                <w:szCs w:val="21"/>
              </w:rPr>
            </w:pPr>
            <w:r>
              <w:rPr>
                <w:rFonts w:hint="eastAsia" w:ascii="宋体" w:hAnsi="宋体" w:cs="宋体"/>
                <w:szCs w:val="21"/>
              </w:rPr>
              <w:t>2.2.2</w:t>
            </w:r>
          </w:p>
        </w:tc>
        <w:tc>
          <w:tcPr>
            <w:tcW w:w="1545" w:type="dxa"/>
            <w:vMerge w:val="restart"/>
            <w:tcBorders>
              <w:left w:val="single" w:color="auto" w:sz="4" w:space="0"/>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r>
              <w:rPr>
                <w:rFonts w:hint="eastAsia" w:ascii="宋体" w:hAnsi="宋体"/>
                <w:kern w:val="0"/>
              </w:rPr>
              <w:t>资格评审标准</w:t>
            </w:r>
          </w:p>
        </w:tc>
        <w:tc>
          <w:tcPr>
            <w:tcW w:w="2565" w:type="dxa"/>
            <w:tcBorders>
              <w:top w:val="single" w:color="auto" w:sz="4" w:space="0"/>
              <w:left w:val="single" w:color="auto" w:sz="4" w:space="0"/>
              <w:right w:val="single" w:color="auto" w:sz="4" w:space="0"/>
            </w:tcBorders>
            <w:noWrap w:val="0"/>
            <w:vAlign w:val="center"/>
          </w:tcPr>
          <w:p>
            <w:pPr>
              <w:pageBreakBefore w:val="0"/>
              <w:widowControl w:val="0"/>
              <w:kinsoku/>
              <w:wordWrap/>
              <w:overflowPunct/>
              <w:topLinePunct w:val="0"/>
              <w:bidi w:val="0"/>
              <w:snapToGrid w:val="0"/>
              <w:spacing w:line="400" w:lineRule="exact"/>
              <w:jc w:val="center"/>
              <w:textAlignment w:val="auto"/>
              <w:rPr>
                <w:rFonts w:ascii="宋体" w:hAnsi="宋体" w:cs="宋体"/>
                <w:kern w:val="0"/>
              </w:rPr>
            </w:pPr>
            <w:r>
              <w:rPr>
                <w:rFonts w:hint="eastAsia" w:ascii="宋体" w:hAnsi="宋体" w:cs="宋体"/>
                <w:kern w:val="0"/>
              </w:rPr>
              <w:t>资质条件</w:t>
            </w:r>
          </w:p>
        </w:tc>
        <w:tc>
          <w:tcPr>
            <w:tcW w:w="4725" w:type="dxa"/>
            <w:tcBorders>
              <w:top w:val="single" w:color="auto" w:sz="4" w:space="0"/>
              <w:left w:val="single" w:color="auto" w:sz="4" w:space="0"/>
            </w:tcBorders>
            <w:noWrap w:val="0"/>
            <w:vAlign w:val="center"/>
          </w:tcPr>
          <w:p>
            <w:pPr>
              <w:pageBreakBefore w:val="0"/>
              <w:widowControl w:val="0"/>
              <w:kinsoku/>
              <w:wordWrap/>
              <w:overflowPunct/>
              <w:topLinePunct w:val="0"/>
              <w:bidi w:val="0"/>
              <w:snapToGrid w:val="0"/>
              <w:spacing w:line="400" w:lineRule="exact"/>
              <w:ind w:firstLine="420" w:firstLineChars="200"/>
              <w:textAlignment w:val="auto"/>
              <w:rPr>
                <w:rFonts w:hint="eastAsia" w:ascii="宋体" w:hAnsi="宋体" w:eastAsia="宋体" w:cs="宋体"/>
                <w:kern w:val="0"/>
              </w:rPr>
            </w:pPr>
            <w:r>
              <w:rPr>
                <w:rFonts w:hint="eastAsia" w:ascii="宋体" w:hAnsi="宋体" w:eastAsia="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00" w:type="dxa"/>
            <w:vMerge w:val="continue"/>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cs="宋体"/>
                <w:szCs w:val="21"/>
              </w:rPr>
            </w:pPr>
          </w:p>
        </w:tc>
        <w:tc>
          <w:tcPr>
            <w:tcW w:w="1545" w:type="dxa"/>
            <w:vMerge w:val="continue"/>
            <w:tcBorders>
              <w:left w:val="single" w:color="auto" w:sz="4" w:space="0"/>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2565" w:type="dxa"/>
            <w:tcBorders>
              <w:top w:val="single" w:color="auto" w:sz="4" w:space="0"/>
              <w:left w:val="single" w:color="auto" w:sz="4" w:space="0"/>
              <w:right w:val="single" w:color="auto" w:sz="4" w:space="0"/>
            </w:tcBorders>
            <w:noWrap w:val="0"/>
            <w:vAlign w:val="center"/>
          </w:tcPr>
          <w:p>
            <w:pPr>
              <w:pageBreakBefore w:val="0"/>
              <w:widowControl w:val="0"/>
              <w:kinsoku/>
              <w:wordWrap/>
              <w:overflowPunct/>
              <w:topLinePunct w:val="0"/>
              <w:bidi w:val="0"/>
              <w:snapToGrid w:val="0"/>
              <w:spacing w:line="400" w:lineRule="exact"/>
              <w:jc w:val="center"/>
              <w:textAlignment w:val="auto"/>
              <w:rPr>
                <w:rFonts w:ascii="宋体" w:hAnsi="宋体" w:cs="宋体"/>
                <w:kern w:val="0"/>
              </w:rPr>
            </w:pPr>
            <w:r>
              <w:rPr>
                <w:rFonts w:hint="eastAsia" w:ascii="宋体" w:hAnsi="宋体" w:cs="宋体"/>
                <w:kern w:val="0"/>
              </w:rPr>
              <w:t>营业执照</w:t>
            </w:r>
          </w:p>
        </w:tc>
        <w:tc>
          <w:tcPr>
            <w:tcW w:w="4725" w:type="dxa"/>
            <w:tcBorders>
              <w:top w:val="single" w:color="auto" w:sz="4" w:space="0"/>
              <w:left w:val="single" w:color="auto" w:sz="4" w:space="0"/>
            </w:tcBorders>
            <w:noWrap w:val="0"/>
            <w:vAlign w:val="center"/>
          </w:tcPr>
          <w:p>
            <w:pPr>
              <w:pageBreakBefore w:val="0"/>
              <w:widowControl w:val="0"/>
              <w:kinsoku/>
              <w:wordWrap/>
              <w:overflowPunct/>
              <w:topLinePunct w:val="0"/>
              <w:bidi w:val="0"/>
              <w:snapToGrid w:val="0"/>
              <w:spacing w:line="400" w:lineRule="exact"/>
              <w:ind w:firstLine="420" w:firstLineChars="200"/>
              <w:textAlignment w:val="auto"/>
              <w:rPr>
                <w:rFonts w:hint="eastAsia" w:ascii="宋体" w:hAnsi="宋体" w:eastAsia="宋体" w:cs="宋体"/>
                <w:kern w:val="0"/>
              </w:rPr>
            </w:pPr>
            <w:r>
              <w:rPr>
                <w:rFonts w:hint="eastAsia" w:ascii="宋体" w:hAnsi="宋体" w:eastAsia="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900" w:type="dxa"/>
            <w:vMerge w:val="continue"/>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cs="宋体"/>
                <w:szCs w:val="21"/>
              </w:rPr>
            </w:pPr>
          </w:p>
        </w:tc>
        <w:tc>
          <w:tcPr>
            <w:tcW w:w="1545" w:type="dxa"/>
            <w:vMerge w:val="continue"/>
            <w:tcBorders>
              <w:left w:val="single" w:color="auto" w:sz="4" w:space="0"/>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256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snapToGrid w:val="0"/>
              <w:spacing w:line="400" w:lineRule="exact"/>
              <w:jc w:val="center"/>
              <w:textAlignment w:val="auto"/>
            </w:pPr>
            <w:r>
              <w:rPr>
                <w:rFonts w:hint="eastAsia"/>
              </w:rPr>
              <w:t>安全生产条件</w:t>
            </w:r>
          </w:p>
        </w:tc>
        <w:tc>
          <w:tcPr>
            <w:tcW w:w="4725" w:type="dxa"/>
            <w:tcBorders>
              <w:top w:val="single" w:color="auto" w:sz="4" w:space="0"/>
              <w:left w:val="single" w:color="auto" w:sz="4" w:space="0"/>
              <w:bottom w:val="single" w:color="auto" w:sz="4" w:space="0"/>
            </w:tcBorders>
            <w:noWrap w:val="0"/>
            <w:vAlign w:val="center"/>
          </w:tcPr>
          <w:p>
            <w:pPr>
              <w:pageBreakBefore w:val="0"/>
              <w:widowControl w:val="0"/>
              <w:kinsoku/>
              <w:wordWrap/>
              <w:overflowPunct/>
              <w:topLinePunct w:val="0"/>
              <w:bidi w:val="0"/>
              <w:snapToGrid w:val="0"/>
              <w:spacing w:line="400" w:lineRule="exact"/>
              <w:ind w:firstLine="420" w:firstLineChars="200"/>
              <w:textAlignment w:val="auto"/>
              <w:rPr>
                <w:rFonts w:hint="eastAsia" w:ascii="宋体" w:hAnsi="宋体" w:eastAsia="宋体" w:cs="宋体"/>
              </w:rPr>
            </w:pPr>
            <w:r>
              <w:rPr>
                <w:rFonts w:hint="eastAsia" w:ascii="宋体" w:hAnsi="宋体" w:eastAsia="宋体" w:cs="宋体"/>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00" w:type="dxa"/>
            <w:vMerge w:val="continue"/>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cs="宋体"/>
                <w:szCs w:val="21"/>
              </w:rPr>
            </w:pPr>
          </w:p>
        </w:tc>
        <w:tc>
          <w:tcPr>
            <w:tcW w:w="1545" w:type="dxa"/>
            <w:vMerge w:val="continue"/>
            <w:tcBorders>
              <w:left w:val="single" w:color="auto" w:sz="4" w:space="0"/>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2565" w:type="dxa"/>
            <w:tcBorders>
              <w:top w:val="single" w:color="auto" w:sz="4" w:space="0"/>
              <w:left w:val="single" w:color="auto" w:sz="4" w:space="0"/>
              <w:right w:val="single" w:color="auto" w:sz="4" w:space="0"/>
            </w:tcBorders>
            <w:noWrap w:val="0"/>
            <w:vAlign w:val="center"/>
          </w:tcPr>
          <w:p>
            <w:pPr>
              <w:pageBreakBefore w:val="0"/>
              <w:widowControl w:val="0"/>
              <w:kinsoku/>
              <w:wordWrap/>
              <w:overflowPunct/>
              <w:topLinePunct w:val="0"/>
              <w:bidi w:val="0"/>
              <w:snapToGrid w:val="0"/>
              <w:spacing w:line="400" w:lineRule="exact"/>
              <w:jc w:val="center"/>
              <w:textAlignment w:val="auto"/>
              <w:rPr>
                <w:rFonts w:ascii="宋体" w:hAnsi="宋体" w:cs="宋体"/>
                <w:kern w:val="0"/>
              </w:rPr>
            </w:pPr>
            <w:r>
              <w:rPr>
                <w:rFonts w:hint="eastAsia" w:ascii="宋体" w:hAnsi="宋体" w:cs="宋体"/>
                <w:szCs w:val="21"/>
              </w:rPr>
              <w:t>投标截止日投标资格情况</w:t>
            </w:r>
          </w:p>
        </w:tc>
        <w:tc>
          <w:tcPr>
            <w:tcW w:w="4725" w:type="dxa"/>
            <w:tcBorders>
              <w:top w:val="single" w:color="auto" w:sz="4" w:space="0"/>
              <w:left w:val="single" w:color="auto" w:sz="4" w:space="0"/>
            </w:tcBorders>
            <w:noWrap w:val="0"/>
            <w:vAlign w:val="center"/>
          </w:tcPr>
          <w:p>
            <w:pPr>
              <w:pageBreakBefore w:val="0"/>
              <w:widowControl w:val="0"/>
              <w:kinsoku/>
              <w:wordWrap/>
              <w:overflowPunct/>
              <w:topLinePunct w:val="0"/>
              <w:bidi w:val="0"/>
              <w:snapToGrid w:val="0"/>
              <w:spacing w:line="400" w:lineRule="exact"/>
              <w:ind w:firstLine="420" w:firstLineChars="200"/>
              <w:textAlignment w:val="auto"/>
              <w:rPr>
                <w:rFonts w:hint="eastAsia" w:ascii="宋体" w:hAnsi="宋体" w:eastAsia="宋体" w:cs="宋体"/>
                <w:kern w:val="0"/>
              </w:rPr>
            </w:pPr>
            <w:r>
              <w:rPr>
                <w:rFonts w:hint="eastAsia" w:ascii="宋体" w:hAnsi="宋体" w:eastAsia="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00" w:type="dxa"/>
            <w:vMerge w:val="continue"/>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cs="宋体"/>
                <w:szCs w:val="21"/>
              </w:rPr>
            </w:pPr>
          </w:p>
        </w:tc>
        <w:tc>
          <w:tcPr>
            <w:tcW w:w="1545" w:type="dxa"/>
            <w:vMerge w:val="continue"/>
            <w:tcBorders>
              <w:left w:val="single" w:color="auto" w:sz="4" w:space="0"/>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2565" w:type="dxa"/>
            <w:tcBorders>
              <w:top w:val="single" w:color="auto" w:sz="4" w:space="0"/>
              <w:left w:val="single" w:color="auto" w:sz="4" w:space="0"/>
              <w:right w:val="single" w:color="auto" w:sz="4" w:space="0"/>
            </w:tcBorders>
            <w:noWrap w:val="0"/>
            <w:vAlign w:val="center"/>
          </w:tcPr>
          <w:p>
            <w:pPr>
              <w:pageBreakBefore w:val="0"/>
              <w:widowControl w:val="0"/>
              <w:kinsoku/>
              <w:wordWrap/>
              <w:overflowPunct/>
              <w:topLinePunct w:val="0"/>
              <w:bidi w:val="0"/>
              <w:snapToGrid w:val="0"/>
              <w:spacing w:line="400" w:lineRule="exact"/>
              <w:jc w:val="center"/>
              <w:textAlignment w:val="auto"/>
              <w:rPr>
                <w:rFonts w:ascii="宋体" w:hAnsi="宋体" w:cs="宋体"/>
                <w:kern w:val="0"/>
              </w:rPr>
            </w:pPr>
            <w:r>
              <w:rPr>
                <w:rFonts w:hint="eastAsia" w:ascii="宋体" w:hAnsi="宋体" w:cs="宋体"/>
                <w:kern w:val="0"/>
              </w:rPr>
              <w:t>项目经理资格要求</w:t>
            </w:r>
          </w:p>
        </w:tc>
        <w:tc>
          <w:tcPr>
            <w:tcW w:w="4725" w:type="dxa"/>
            <w:tcBorders>
              <w:top w:val="single" w:color="auto" w:sz="4" w:space="0"/>
              <w:left w:val="single" w:color="auto" w:sz="4" w:space="0"/>
            </w:tcBorders>
            <w:noWrap w:val="0"/>
            <w:vAlign w:val="center"/>
          </w:tcPr>
          <w:p>
            <w:pPr>
              <w:pageBreakBefore w:val="0"/>
              <w:widowControl w:val="0"/>
              <w:kinsoku/>
              <w:wordWrap/>
              <w:overflowPunct/>
              <w:topLinePunct w:val="0"/>
              <w:bidi w:val="0"/>
              <w:snapToGrid w:val="0"/>
              <w:spacing w:line="400" w:lineRule="exact"/>
              <w:ind w:firstLine="420" w:firstLineChars="200"/>
              <w:textAlignment w:val="auto"/>
              <w:rPr>
                <w:rFonts w:hint="eastAsia" w:ascii="宋体" w:hAnsi="宋体" w:eastAsia="宋体" w:cs="宋体"/>
                <w:kern w:val="0"/>
              </w:rPr>
            </w:pPr>
            <w:r>
              <w:rPr>
                <w:rFonts w:hint="eastAsia" w:ascii="宋体" w:hAnsi="宋体" w:eastAsia="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00" w:type="dxa"/>
            <w:vMerge w:val="continue"/>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cs="宋体"/>
                <w:szCs w:val="21"/>
              </w:rPr>
            </w:pPr>
          </w:p>
        </w:tc>
        <w:tc>
          <w:tcPr>
            <w:tcW w:w="1545" w:type="dxa"/>
            <w:vMerge w:val="continue"/>
            <w:tcBorders>
              <w:left w:val="single" w:color="auto" w:sz="4" w:space="0"/>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2565" w:type="dxa"/>
            <w:tcBorders>
              <w:top w:val="single" w:color="auto" w:sz="4" w:space="0"/>
              <w:left w:val="single" w:color="auto" w:sz="4" w:space="0"/>
              <w:right w:val="single" w:color="auto" w:sz="4" w:space="0"/>
            </w:tcBorders>
            <w:noWrap w:val="0"/>
            <w:vAlign w:val="center"/>
          </w:tcPr>
          <w:p>
            <w:pPr>
              <w:pageBreakBefore w:val="0"/>
              <w:widowControl w:val="0"/>
              <w:kinsoku/>
              <w:wordWrap/>
              <w:overflowPunct/>
              <w:topLinePunct w:val="0"/>
              <w:bidi w:val="0"/>
              <w:snapToGrid w:val="0"/>
              <w:spacing w:line="400" w:lineRule="exact"/>
              <w:jc w:val="center"/>
              <w:textAlignment w:val="auto"/>
              <w:rPr>
                <w:rFonts w:ascii="宋体" w:hAnsi="宋体" w:cs="宋体"/>
                <w:kern w:val="0"/>
              </w:rPr>
            </w:pPr>
            <w:r>
              <w:rPr>
                <w:rFonts w:hint="eastAsia" w:ascii="宋体" w:hAnsi="宋体" w:cs="宋体"/>
                <w:kern w:val="0"/>
              </w:rPr>
              <w:t>其他要求</w:t>
            </w:r>
          </w:p>
        </w:tc>
        <w:tc>
          <w:tcPr>
            <w:tcW w:w="4725" w:type="dxa"/>
            <w:tcBorders>
              <w:top w:val="single" w:color="auto" w:sz="4" w:space="0"/>
              <w:left w:val="single" w:color="auto" w:sz="4" w:space="0"/>
            </w:tcBorders>
            <w:noWrap w:val="0"/>
            <w:vAlign w:val="center"/>
          </w:tcPr>
          <w:p>
            <w:pPr>
              <w:pageBreakBefore w:val="0"/>
              <w:widowControl w:val="0"/>
              <w:kinsoku/>
              <w:wordWrap/>
              <w:overflowPunct/>
              <w:topLinePunct w:val="0"/>
              <w:bidi w:val="0"/>
              <w:snapToGrid w:val="0"/>
              <w:spacing w:line="400" w:lineRule="exact"/>
              <w:ind w:firstLine="420" w:firstLineChars="200"/>
              <w:textAlignment w:val="auto"/>
              <w:rPr>
                <w:rFonts w:hint="eastAsia" w:ascii="宋体" w:hAnsi="宋体" w:eastAsia="宋体" w:cs="宋体"/>
                <w:kern w:val="0"/>
                <w:u w:val="single"/>
              </w:rPr>
            </w:pPr>
            <w:r>
              <w:rPr>
                <w:rFonts w:hint="eastAsia" w:ascii="宋体" w:hAnsi="宋体" w:eastAsia="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restart"/>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r>
              <w:rPr>
                <w:rFonts w:ascii="宋体" w:hAnsi="宋体"/>
                <w:kern w:val="0"/>
              </w:rPr>
              <w:t>2.</w:t>
            </w:r>
            <w:r>
              <w:rPr>
                <w:rFonts w:hint="eastAsia" w:ascii="宋体" w:hAnsi="宋体"/>
                <w:kern w:val="0"/>
              </w:rPr>
              <w:t>2</w:t>
            </w:r>
            <w:r>
              <w:rPr>
                <w:rFonts w:ascii="宋体" w:hAnsi="宋体"/>
                <w:kern w:val="0"/>
              </w:rPr>
              <w:t>.</w:t>
            </w:r>
            <w:r>
              <w:rPr>
                <w:rFonts w:hint="eastAsia" w:ascii="宋体" w:hAnsi="宋体"/>
                <w:kern w:val="0"/>
              </w:rPr>
              <w:t>3</w:t>
            </w:r>
          </w:p>
        </w:tc>
        <w:tc>
          <w:tcPr>
            <w:tcW w:w="1545" w:type="dxa"/>
            <w:vMerge w:val="restart"/>
            <w:tcBorders>
              <w:lef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r>
              <w:rPr>
                <w:rFonts w:hint="eastAsia" w:ascii="宋体" w:hAnsi="宋体"/>
                <w:kern w:val="0"/>
              </w:rPr>
              <w:t>形式评审标准</w:t>
            </w:r>
          </w:p>
        </w:tc>
        <w:tc>
          <w:tcPr>
            <w:tcW w:w="2565" w:type="dxa"/>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cs="宋体"/>
                <w:kern w:val="0"/>
              </w:rPr>
            </w:pPr>
            <w:r>
              <w:rPr>
                <w:rFonts w:hint="eastAsia" w:ascii="宋体" w:hAnsi="宋体" w:cs="宋体"/>
                <w:kern w:val="0"/>
              </w:rPr>
              <w:t>投标人名称</w:t>
            </w:r>
          </w:p>
        </w:tc>
        <w:tc>
          <w:tcPr>
            <w:tcW w:w="4725" w:type="dxa"/>
            <w:tcBorders>
              <w:left w:val="single" w:color="auto" w:sz="4" w:space="0"/>
            </w:tcBorders>
            <w:noWrap w:val="0"/>
            <w:vAlign w:val="center"/>
          </w:tcPr>
          <w:p>
            <w:pPr>
              <w:pageBreakBefore w:val="0"/>
              <w:widowControl w:val="0"/>
              <w:kinsoku/>
              <w:wordWrap/>
              <w:overflowPunct/>
              <w:topLinePunct w:val="0"/>
              <w:bidi w:val="0"/>
              <w:snapToGrid w:val="0"/>
              <w:spacing w:line="400" w:lineRule="exact"/>
              <w:ind w:firstLine="420" w:firstLineChars="200"/>
              <w:textAlignment w:val="auto"/>
              <w:rPr>
                <w:rFonts w:ascii="宋体" w:hAnsi="宋体" w:cs="宋体"/>
                <w:kern w:val="0"/>
              </w:rPr>
            </w:pPr>
            <w:r>
              <w:rPr>
                <w:rFonts w:hint="eastAsia" w:ascii="宋体" w:hAnsi="宋体" w:cs="宋体"/>
                <w:kern w:val="0"/>
              </w:rPr>
              <w:t>与营业执照、资质证书、安全生产许可证一致，依法变更名称的应提交相应证明材料。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b/>
                <w:kern w:val="0"/>
              </w:rPr>
            </w:pPr>
          </w:p>
        </w:tc>
        <w:tc>
          <w:tcPr>
            <w:tcW w:w="1545" w:type="dxa"/>
            <w:vMerge w:val="continue"/>
            <w:tcBorders>
              <w:lef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b/>
                <w:kern w:val="0"/>
              </w:rPr>
            </w:pPr>
          </w:p>
        </w:tc>
        <w:tc>
          <w:tcPr>
            <w:tcW w:w="2565" w:type="dxa"/>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cs="宋体"/>
                <w:kern w:val="0"/>
              </w:rPr>
            </w:pPr>
            <w:r>
              <w:rPr>
                <w:rFonts w:hint="eastAsia" w:ascii="宋体" w:hAnsi="宋体" w:cs="宋体"/>
                <w:kern w:val="0"/>
              </w:rPr>
              <w:t>投标文件格式</w:t>
            </w:r>
          </w:p>
        </w:tc>
        <w:tc>
          <w:tcPr>
            <w:tcW w:w="4725" w:type="dxa"/>
            <w:tcBorders>
              <w:left w:val="single" w:color="auto" w:sz="4" w:space="0"/>
            </w:tcBorders>
            <w:noWrap w:val="0"/>
            <w:vAlign w:val="center"/>
          </w:tcPr>
          <w:p>
            <w:pPr>
              <w:pageBreakBefore w:val="0"/>
              <w:widowControl w:val="0"/>
              <w:kinsoku/>
              <w:wordWrap/>
              <w:overflowPunct/>
              <w:topLinePunct w:val="0"/>
              <w:bidi w:val="0"/>
              <w:snapToGrid w:val="0"/>
              <w:spacing w:line="400" w:lineRule="exact"/>
              <w:ind w:firstLine="380" w:firstLineChars="181"/>
              <w:textAlignment w:val="auto"/>
              <w:rPr>
                <w:rFonts w:ascii="宋体" w:hAnsi="宋体" w:cs="宋体"/>
                <w:kern w:val="0"/>
              </w:rPr>
            </w:pPr>
            <w:r>
              <w:rPr>
                <w:rFonts w:hint="eastAsia" w:ascii="宋体" w:hAnsi="宋体" w:cs="宋体"/>
                <w:kern w:val="0"/>
              </w:rPr>
              <w:t>符合第二章“投标人须知”第3.7款的要求（不含投标函部分）。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b/>
                <w:kern w:val="0"/>
              </w:rPr>
            </w:pPr>
          </w:p>
        </w:tc>
        <w:tc>
          <w:tcPr>
            <w:tcW w:w="1545" w:type="dxa"/>
            <w:vMerge w:val="continue"/>
            <w:tcBorders>
              <w:lef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b/>
                <w:kern w:val="0"/>
              </w:rPr>
            </w:pPr>
          </w:p>
        </w:tc>
        <w:tc>
          <w:tcPr>
            <w:tcW w:w="2565" w:type="dxa"/>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cs="宋体"/>
                <w:kern w:val="0"/>
              </w:rPr>
            </w:pPr>
            <w:r>
              <w:rPr>
                <w:rFonts w:hint="eastAsia" w:ascii="宋体" w:hAnsi="宋体" w:cs="宋体"/>
                <w:kern w:val="0"/>
              </w:rPr>
              <w:t>投标文件的签署</w:t>
            </w:r>
          </w:p>
        </w:tc>
        <w:tc>
          <w:tcPr>
            <w:tcW w:w="4725" w:type="dxa"/>
            <w:tcBorders>
              <w:left w:val="single" w:color="auto" w:sz="4" w:space="0"/>
            </w:tcBorders>
            <w:noWrap w:val="0"/>
            <w:vAlign w:val="center"/>
          </w:tcPr>
          <w:p>
            <w:pPr>
              <w:autoSpaceDE w:val="0"/>
              <w:autoSpaceDN w:val="0"/>
              <w:adjustRightInd w:val="0"/>
              <w:snapToGrid w:val="0"/>
              <w:spacing w:line="400" w:lineRule="exact"/>
              <w:ind w:firstLine="420" w:firstLineChars="200"/>
              <w:rPr>
                <w:rFonts w:ascii="宋体" w:hAnsi="宋体" w:cs="宋体"/>
                <w:kern w:val="0"/>
              </w:rPr>
            </w:pPr>
            <w:r>
              <w:rPr>
                <w:rFonts w:hint="eastAsia" w:ascii="宋体" w:hAnsi="宋体" w:cs="宋体"/>
                <w:kern w:val="0"/>
              </w:rPr>
              <w:t>第八章 投标文件格式要求法定代表人或其委托代理人签名（或盖章）的须齐全。</w:t>
            </w:r>
          </w:p>
          <w:p>
            <w:pPr>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kern w:val="0"/>
              </w:rPr>
            </w:pPr>
            <w:r>
              <w:rPr>
                <w:rFonts w:hint="eastAsia" w:ascii="宋体" w:hAnsi="宋体" w:cs="宋体"/>
                <w:snapToGrid w:val="0"/>
                <w:kern w:val="0"/>
                <w:szCs w:val="21"/>
              </w:rPr>
              <w:t>若投标单位为联合体，则联合体协议书中各联合体各成员单位签名（或盖章）须齐全，联合体协议书以外的</w:t>
            </w:r>
            <w:r>
              <w:rPr>
                <w:rFonts w:hint="eastAsia" w:ascii="宋体" w:hAnsi="宋体" w:cs="宋体"/>
                <w:kern w:val="0"/>
              </w:rPr>
              <w:t>投标文件格式中，要求</w:t>
            </w:r>
            <w:r>
              <w:rPr>
                <w:rFonts w:hint="eastAsia" w:ascii="宋体" w:hAnsi="宋体" w:cs="宋体"/>
                <w:snapToGrid w:val="0"/>
                <w:kern w:val="0"/>
                <w:szCs w:val="21"/>
              </w:rPr>
              <w:t>联合体牵头人</w:t>
            </w:r>
            <w:r>
              <w:rPr>
                <w:rFonts w:hint="eastAsia" w:ascii="宋体" w:hAnsi="宋体" w:cs="宋体"/>
                <w:kern w:val="0"/>
              </w:rPr>
              <w:t>法定代表人或其委托代理人签名（或盖章）的须齐全。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b/>
                <w:kern w:val="0"/>
              </w:rPr>
            </w:pPr>
          </w:p>
        </w:tc>
        <w:tc>
          <w:tcPr>
            <w:tcW w:w="1545" w:type="dxa"/>
            <w:vMerge w:val="continue"/>
            <w:tcBorders>
              <w:lef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b/>
                <w:kern w:val="0"/>
              </w:rPr>
            </w:pPr>
          </w:p>
        </w:tc>
        <w:tc>
          <w:tcPr>
            <w:tcW w:w="2565" w:type="dxa"/>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cs="宋体"/>
                <w:kern w:val="0"/>
              </w:rPr>
            </w:pPr>
            <w:r>
              <w:rPr>
                <w:rFonts w:hint="eastAsia" w:ascii="宋体" w:hAnsi="宋体" w:cs="宋体"/>
                <w:kern w:val="0"/>
              </w:rPr>
              <w:t>委托代理人</w:t>
            </w:r>
          </w:p>
        </w:tc>
        <w:tc>
          <w:tcPr>
            <w:tcW w:w="4725" w:type="dxa"/>
            <w:tcBorders>
              <w:left w:val="single" w:color="auto" w:sz="4" w:space="0"/>
            </w:tcBorders>
            <w:noWrap w:val="0"/>
            <w:vAlign w:val="center"/>
          </w:tcPr>
          <w:p>
            <w:pPr>
              <w:pageBreakBefore w:val="0"/>
              <w:widowControl w:val="0"/>
              <w:kinsoku/>
              <w:wordWrap/>
              <w:overflowPunct/>
              <w:topLinePunct w:val="0"/>
              <w:bidi w:val="0"/>
              <w:snapToGrid w:val="0"/>
              <w:spacing w:line="400" w:lineRule="exact"/>
              <w:ind w:firstLine="420" w:firstLineChars="200"/>
              <w:textAlignment w:val="auto"/>
              <w:rPr>
                <w:rFonts w:ascii="宋体" w:hAnsi="宋体" w:cs="宋体"/>
                <w:kern w:val="0"/>
              </w:rPr>
            </w:pPr>
            <w:r>
              <w:rPr>
                <w:rFonts w:hint="eastAsia" w:ascii="宋体" w:hAnsi="宋体" w:cs="宋体"/>
                <w:kern w:val="0"/>
              </w:rPr>
              <w:t>投标人法定代表人的委托代理人有法定代表人签署的授权委托书和投标人为其缴纳的养老保险。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restart"/>
            <w:tcBorders>
              <w:top w:val="single" w:color="auto" w:sz="4" w:space="0"/>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r>
              <w:rPr>
                <w:rFonts w:hint="eastAsia" w:ascii="宋体" w:hAnsi="宋体"/>
                <w:kern w:val="0"/>
              </w:rPr>
              <w:t>2.2.4</w:t>
            </w:r>
          </w:p>
        </w:tc>
        <w:tc>
          <w:tcPr>
            <w:tcW w:w="1545" w:type="dxa"/>
            <w:vMerge w:val="restart"/>
            <w:tcBorders>
              <w:top w:val="single" w:color="auto" w:sz="4" w:space="0"/>
              <w:lef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r>
              <w:rPr>
                <w:rFonts w:ascii="宋体" w:hAnsi="宋体"/>
                <w:kern w:val="0"/>
              </w:rPr>
              <w:t>响应性评审</w:t>
            </w:r>
          </w:p>
          <w:p>
            <w:pPr>
              <w:pageBreakBefore w:val="0"/>
              <w:widowControl w:val="0"/>
              <w:kinsoku/>
              <w:wordWrap/>
              <w:overflowPunct/>
              <w:topLinePunct w:val="0"/>
              <w:bidi w:val="0"/>
              <w:spacing w:line="400" w:lineRule="exact"/>
              <w:jc w:val="center"/>
              <w:textAlignment w:val="auto"/>
              <w:rPr>
                <w:rFonts w:ascii="宋体" w:hAnsi="宋体"/>
                <w:kern w:val="0"/>
              </w:rPr>
            </w:pPr>
            <w:r>
              <w:rPr>
                <w:rFonts w:ascii="宋体" w:hAnsi="宋体"/>
                <w:kern w:val="0"/>
              </w:rPr>
              <w:t>标准</w:t>
            </w:r>
          </w:p>
        </w:tc>
        <w:tc>
          <w:tcPr>
            <w:tcW w:w="2565" w:type="dxa"/>
            <w:tcBorders>
              <w:right w:val="single" w:color="auto" w:sz="4" w:space="0"/>
            </w:tcBorders>
            <w:noWrap w:val="0"/>
            <w:vAlign w:val="center"/>
          </w:tcPr>
          <w:p>
            <w:pPr>
              <w:pageBreakBefore w:val="0"/>
              <w:widowControl w:val="0"/>
              <w:kinsoku/>
              <w:wordWrap/>
              <w:overflowPunct/>
              <w:topLinePunct w:val="0"/>
              <w:bidi w:val="0"/>
              <w:snapToGrid w:val="0"/>
              <w:spacing w:line="400" w:lineRule="exact"/>
              <w:jc w:val="center"/>
              <w:textAlignment w:val="auto"/>
              <w:rPr>
                <w:rFonts w:ascii="宋体" w:hAnsi="宋体" w:cs="宋体"/>
                <w:kern w:val="0"/>
              </w:rPr>
            </w:pPr>
            <w:r>
              <w:rPr>
                <w:rFonts w:hint="eastAsia" w:ascii="宋体" w:hAnsi="宋体" w:cs="宋体"/>
                <w:kern w:val="0"/>
              </w:rPr>
              <w:t>投标内容</w:t>
            </w:r>
          </w:p>
        </w:tc>
        <w:tc>
          <w:tcPr>
            <w:tcW w:w="4725" w:type="dxa"/>
            <w:tcBorders>
              <w:left w:val="single" w:color="auto" w:sz="4" w:space="0"/>
            </w:tcBorders>
            <w:noWrap w:val="0"/>
            <w:vAlign w:val="center"/>
          </w:tcPr>
          <w:p>
            <w:pPr>
              <w:pageBreakBefore w:val="0"/>
              <w:widowControl w:val="0"/>
              <w:kinsoku/>
              <w:wordWrap/>
              <w:overflowPunct/>
              <w:topLinePunct w:val="0"/>
              <w:bidi w:val="0"/>
              <w:snapToGrid w:val="0"/>
              <w:spacing w:line="400" w:lineRule="exact"/>
              <w:ind w:firstLine="420" w:firstLineChars="200"/>
              <w:textAlignment w:val="auto"/>
              <w:rPr>
                <w:rFonts w:ascii="宋体" w:hAnsi="宋体" w:cs="宋体"/>
                <w:kern w:val="0"/>
              </w:rPr>
            </w:pPr>
            <w:r>
              <w:rPr>
                <w:rFonts w:hint="eastAsia" w:ascii="宋体" w:hAnsi="宋体" w:cs="宋体"/>
                <w:kern w:val="0"/>
              </w:rPr>
              <w:t>符合第二章“投标人须知”第1.3.1项规定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1545" w:type="dxa"/>
            <w:vMerge w:val="continue"/>
            <w:tcBorders>
              <w:lef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2565" w:type="dxa"/>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cs="宋体"/>
                <w:kern w:val="0"/>
              </w:rPr>
            </w:pPr>
            <w:r>
              <w:rPr>
                <w:rFonts w:hint="eastAsia" w:ascii="宋体" w:hAnsi="宋体" w:cs="宋体"/>
                <w:kern w:val="0"/>
              </w:rPr>
              <w:t>投标保证金</w:t>
            </w:r>
          </w:p>
        </w:tc>
        <w:tc>
          <w:tcPr>
            <w:tcW w:w="4725" w:type="dxa"/>
            <w:tcBorders>
              <w:left w:val="single" w:color="auto" w:sz="4" w:space="0"/>
            </w:tcBorders>
            <w:noWrap w:val="0"/>
            <w:vAlign w:val="center"/>
          </w:tcPr>
          <w:p>
            <w:pPr>
              <w:pageBreakBefore w:val="0"/>
              <w:widowControl w:val="0"/>
              <w:tabs>
                <w:tab w:val="left" w:pos="611"/>
                <w:tab w:val="left" w:pos="669"/>
              </w:tabs>
              <w:kinsoku/>
              <w:wordWrap/>
              <w:overflowPunct/>
              <w:topLinePunct w:val="0"/>
              <w:bidi w:val="0"/>
              <w:snapToGrid w:val="0"/>
              <w:spacing w:line="400" w:lineRule="exact"/>
              <w:ind w:firstLine="420" w:firstLineChars="200"/>
              <w:textAlignment w:val="auto"/>
              <w:rPr>
                <w:rFonts w:ascii="宋体" w:hAnsi="宋体" w:cs="宋体"/>
                <w:kern w:val="0"/>
              </w:rPr>
            </w:pPr>
            <w:r>
              <w:rPr>
                <w:rFonts w:hint="eastAsia" w:ascii="宋体" w:hAnsi="宋体" w:cs="宋体"/>
                <w:kern w:val="0"/>
              </w:rPr>
              <w:t>符合第二章“投标人须知前附表”第3.4款规定。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1545" w:type="dxa"/>
            <w:vMerge w:val="continue"/>
            <w:tcBorders>
              <w:lef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2565" w:type="dxa"/>
            <w:tcBorders>
              <w:right w:val="single" w:color="auto" w:sz="4" w:space="0"/>
            </w:tcBorders>
            <w:noWrap w:val="0"/>
            <w:vAlign w:val="center"/>
          </w:tcPr>
          <w:p>
            <w:pPr>
              <w:pageBreakBefore w:val="0"/>
              <w:widowControl w:val="0"/>
              <w:kinsoku/>
              <w:wordWrap/>
              <w:overflowPunct/>
              <w:topLinePunct w:val="0"/>
              <w:bidi w:val="0"/>
              <w:snapToGrid w:val="0"/>
              <w:spacing w:line="400" w:lineRule="exact"/>
              <w:jc w:val="center"/>
              <w:textAlignment w:val="auto"/>
              <w:rPr>
                <w:rFonts w:ascii="宋体" w:hAnsi="宋体" w:cs="宋体"/>
                <w:kern w:val="0"/>
              </w:rPr>
            </w:pPr>
            <w:r>
              <w:rPr>
                <w:rFonts w:hint="eastAsia" w:ascii="宋体" w:hAnsi="宋体" w:cs="宋体"/>
                <w:kern w:val="0"/>
              </w:rPr>
              <w:t>权利义务</w:t>
            </w:r>
          </w:p>
        </w:tc>
        <w:tc>
          <w:tcPr>
            <w:tcW w:w="4725" w:type="dxa"/>
            <w:tcBorders>
              <w:left w:val="single" w:color="auto" w:sz="4" w:space="0"/>
            </w:tcBorders>
            <w:noWrap w:val="0"/>
            <w:vAlign w:val="center"/>
          </w:tcPr>
          <w:p>
            <w:pPr>
              <w:pageBreakBefore w:val="0"/>
              <w:widowControl w:val="0"/>
              <w:kinsoku/>
              <w:wordWrap/>
              <w:overflowPunct/>
              <w:topLinePunct w:val="0"/>
              <w:bidi w:val="0"/>
              <w:snapToGrid w:val="0"/>
              <w:spacing w:line="400" w:lineRule="exact"/>
              <w:ind w:firstLine="420" w:firstLineChars="200"/>
              <w:textAlignment w:val="auto"/>
              <w:rPr>
                <w:rFonts w:ascii="宋体" w:hAnsi="宋体" w:cs="宋体"/>
                <w:kern w:val="0"/>
              </w:rPr>
            </w:pPr>
            <w:r>
              <w:rPr>
                <w:rFonts w:hint="eastAsia" w:ascii="宋体" w:hAnsi="宋体" w:cs="宋体"/>
                <w:kern w:val="0"/>
              </w:rPr>
              <w:t>符合第四章“合同条款及格式”规定，投标文件不应附有招标人不能接受的条件。（由投标人承诺，承诺书格式详见第八章投标文件格式。）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1545" w:type="dxa"/>
            <w:vMerge w:val="continue"/>
            <w:tcBorders>
              <w:lef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2565" w:type="dxa"/>
            <w:tcBorders>
              <w:right w:val="single" w:color="auto" w:sz="4" w:space="0"/>
            </w:tcBorders>
            <w:noWrap w:val="0"/>
            <w:vAlign w:val="center"/>
          </w:tcPr>
          <w:p>
            <w:pPr>
              <w:pageBreakBefore w:val="0"/>
              <w:widowControl w:val="0"/>
              <w:kinsoku/>
              <w:wordWrap/>
              <w:overflowPunct/>
              <w:topLinePunct w:val="0"/>
              <w:bidi w:val="0"/>
              <w:snapToGrid w:val="0"/>
              <w:spacing w:line="400" w:lineRule="exact"/>
              <w:jc w:val="center"/>
              <w:textAlignment w:val="auto"/>
              <w:rPr>
                <w:rFonts w:ascii="宋体" w:hAnsi="宋体" w:cs="宋体"/>
                <w:kern w:val="0"/>
              </w:rPr>
            </w:pPr>
            <w:r>
              <w:rPr>
                <w:rFonts w:hint="eastAsia" w:ascii="宋体" w:hAnsi="宋体" w:cs="宋体"/>
                <w:kern w:val="0"/>
              </w:rPr>
              <w:t>技术标准和要求</w:t>
            </w:r>
          </w:p>
        </w:tc>
        <w:tc>
          <w:tcPr>
            <w:tcW w:w="4725" w:type="dxa"/>
            <w:tcBorders>
              <w:left w:val="single" w:color="auto" w:sz="4" w:space="0"/>
            </w:tcBorders>
            <w:noWrap w:val="0"/>
            <w:vAlign w:val="center"/>
          </w:tcPr>
          <w:p>
            <w:pPr>
              <w:pageBreakBefore w:val="0"/>
              <w:widowControl w:val="0"/>
              <w:kinsoku/>
              <w:wordWrap/>
              <w:overflowPunct/>
              <w:topLinePunct w:val="0"/>
              <w:bidi w:val="0"/>
              <w:snapToGrid w:val="0"/>
              <w:spacing w:line="400" w:lineRule="exact"/>
              <w:ind w:firstLine="420" w:firstLineChars="200"/>
              <w:textAlignment w:val="auto"/>
              <w:rPr>
                <w:rFonts w:ascii="宋体" w:hAnsi="宋体" w:cs="宋体"/>
                <w:kern w:val="0"/>
              </w:rPr>
            </w:pPr>
            <w:r>
              <w:rPr>
                <w:rFonts w:hint="eastAsia" w:ascii="宋体" w:hAnsi="宋体" w:cs="宋体"/>
                <w:kern w:val="0"/>
              </w:rPr>
              <w:t>符合第七章“技术标准和要求”规定。（由投标人承诺，承诺书格式详见第八章投标文件格式。）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bottom w:val="single" w:color="auto" w:sz="4" w:space="0"/>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1545" w:type="dxa"/>
            <w:vMerge w:val="continue"/>
            <w:tcBorders>
              <w:left w:val="single" w:color="auto" w:sz="4" w:space="0"/>
              <w:bottom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2565" w:type="dxa"/>
            <w:tcBorders>
              <w:right w:val="single" w:color="auto" w:sz="4" w:space="0"/>
            </w:tcBorders>
            <w:noWrap w:val="0"/>
            <w:vAlign w:val="center"/>
          </w:tcPr>
          <w:p>
            <w:pPr>
              <w:pageBreakBefore w:val="0"/>
              <w:widowControl w:val="0"/>
              <w:kinsoku/>
              <w:wordWrap/>
              <w:overflowPunct/>
              <w:topLinePunct w:val="0"/>
              <w:bidi w:val="0"/>
              <w:snapToGrid w:val="0"/>
              <w:spacing w:line="400" w:lineRule="exact"/>
              <w:jc w:val="center"/>
              <w:textAlignment w:val="auto"/>
              <w:rPr>
                <w:rFonts w:ascii="宋体" w:hAnsi="宋体" w:cs="宋体"/>
                <w:kern w:val="0"/>
              </w:rPr>
            </w:pPr>
            <w:r>
              <w:rPr>
                <w:rFonts w:hint="eastAsia" w:ascii="宋体" w:hAnsi="宋体" w:cs="宋体"/>
                <w:kern w:val="0"/>
              </w:rPr>
              <w:t>实质性要求</w:t>
            </w:r>
          </w:p>
        </w:tc>
        <w:tc>
          <w:tcPr>
            <w:tcW w:w="4725" w:type="dxa"/>
            <w:tcBorders>
              <w:left w:val="single" w:color="auto" w:sz="4" w:space="0"/>
            </w:tcBorders>
            <w:noWrap w:val="0"/>
            <w:vAlign w:val="center"/>
          </w:tcPr>
          <w:p>
            <w:pPr>
              <w:pageBreakBefore w:val="0"/>
              <w:widowControl w:val="0"/>
              <w:kinsoku/>
              <w:wordWrap/>
              <w:overflowPunct/>
              <w:topLinePunct w:val="0"/>
              <w:bidi w:val="0"/>
              <w:snapToGrid w:val="0"/>
              <w:spacing w:line="400" w:lineRule="exact"/>
              <w:ind w:firstLine="420" w:firstLineChars="200"/>
              <w:textAlignment w:val="auto"/>
              <w:rPr>
                <w:rFonts w:ascii="宋体" w:hAnsi="宋体" w:cs="宋体"/>
                <w:kern w:val="0"/>
              </w:rPr>
            </w:pPr>
            <w:r>
              <w:rPr>
                <w:rFonts w:hint="eastAsia" w:ascii="宋体" w:hAnsi="宋体" w:cs="宋体"/>
                <w:kern w:val="0"/>
              </w:rPr>
              <w:t>符合第二章“投标人须知”第1.4.3项规定。</w:t>
            </w:r>
          </w:p>
          <w:p>
            <w:pPr>
              <w:pageBreakBefore w:val="0"/>
              <w:widowControl w:val="0"/>
              <w:kinsoku/>
              <w:wordWrap/>
              <w:overflowPunct/>
              <w:topLinePunct w:val="0"/>
              <w:bidi w:val="0"/>
              <w:snapToGrid w:val="0"/>
              <w:spacing w:line="400" w:lineRule="exact"/>
              <w:ind w:firstLine="420" w:firstLineChars="200"/>
              <w:textAlignment w:val="auto"/>
              <w:rPr>
                <w:rFonts w:ascii="宋体" w:hAnsi="宋体" w:cs="宋体"/>
                <w:kern w:val="0"/>
              </w:rPr>
            </w:pPr>
            <w:r>
              <w:rPr>
                <w:rFonts w:hint="eastAsia" w:ascii="宋体" w:hAnsi="宋体" w:cs="宋体"/>
                <w:kern w:val="0"/>
              </w:rPr>
              <w:t>本次投标不得有串通投标、弄虚作假等其他违反招投标相关法律、法规行为。</w:t>
            </w:r>
          </w:p>
          <w:p>
            <w:pPr>
              <w:pageBreakBefore w:val="0"/>
              <w:widowControl w:val="0"/>
              <w:kinsoku/>
              <w:wordWrap/>
              <w:overflowPunct/>
              <w:topLinePunct w:val="0"/>
              <w:bidi w:val="0"/>
              <w:snapToGrid w:val="0"/>
              <w:spacing w:line="400" w:lineRule="exact"/>
              <w:ind w:firstLine="420" w:firstLineChars="200"/>
              <w:textAlignment w:val="auto"/>
              <w:rPr>
                <w:rFonts w:ascii="宋体" w:hAnsi="宋体" w:cs="宋体"/>
                <w:kern w:val="0"/>
              </w:rPr>
            </w:pPr>
            <w:r>
              <w:rPr>
                <w:rFonts w:hint="eastAsia" w:ascii="宋体" w:hAnsi="宋体" w:cs="宋体"/>
                <w:kern w:val="0"/>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restart"/>
            <w:tcBorders>
              <w:top w:val="single" w:color="auto" w:sz="4" w:space="0"/>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r>
              <w:rPr>
                <w:rFonts w:hint="eastAsia" w:ascii="宋体" w:hAnsi="宋体"/>
                <w:kern w:val="0"/>
              </w:rPr>
              <w:t>2.2.5</w:t>
            </w:r>
          </w:p>
        </w:tc>
        <w:tc>
          <w:tcPr>
            <w:tcW w:w="1545" w:type="dxa"/>
            <w:vMerge w:val="restart"/>
            <w:tcBorders>
              <w:top w:val="single" w:color="auto" w:sz="4" w:space="0"/>
              <w:lef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r>
              <w:rPr>
                <w:rFonts w:hint="eastAsia" w:ascii="宋体" w:hAnsi="宋体"/>
                <w:kern w:val="0"/>
              </w:rPr>
              <w:t>投标函部分及经济部分评审标准</w:t>
            </w:r>
          </w:p>
        </w:tc>
        <w:tc>
          <w:tcPr>
            <w:tcW w:w="2565" w:type="dxa"/>
            <w:tcBorders>
              <w:right w:val="single" w:color="auto" w:sz="4" w:space="0"/>
            </w:tcBorders>
            <w:noWrap w:val="0"/>
            <w:vAlign w:val="center"/>
          </w:tcPr>
          <w:p>
            <w:pPr>
              <w:pageBreakBefore w:val="0"/>
              <w:widowControl w:val="0"/>
              <w:kinsoku/>
              <w:wordWrap/>
              <w:overflowPunct/>
              <w:topLinePunct w:val="0"/>
              <w:bidi w:val="0"/>
              <w:snapToGrid w:val="0"/>
              <w:spacing w:line="400" w:lineRule="exact"/>
              <w:jc w:val="center"/>
              <w:textAlignment w:val="auto"/>
              <w:rPr>
                <w:rFonts w:ascii="宋体" w:hAnsi="宋体" w:cs="宋体"/>
                <w:kern w:val="0"/>
              </w:rPr>
            </w:pPr>
            <w:r>
              <w:rPr>
                <w:rFonts w:hint="eastAsia" w:ascii="宋体" w:hAnsi="宋体" w:cs="宋体"/>
                <w:kern w:val="0"/>
              </w:rPr>
              <w:t>投标函部分的签名盖章</w:t>
            </w:r>
          </w:p>
        </w:tc>
        <w:tc>
          <w:tcPr>
            <w:tcW w:w="4725" w:type="dxa"/>
            <w:tcBorders>
              <w:left w:val="single" w:color="auto" w:sz="4" w:space="0"/>
            </w:tcBorders>
            <w:noWrap w:val="0"/>
            <w:vAlign w:val="center"/>
          </w:tcPr>
          <w:p>
            <w:pPr>
              <w:pageBreakBefore w:val="0"/>
              <w:widowControl w:val="0"/>
              <w:kinsoku/>
              <w:wordWrap/>
              <w:overflowPunct/>
              <w:topLinePunct w:val="0"/>
              <w:bidi w:val="0"/>
              <w:snapToGrid w:val="0"/>
              <w:spacing w:line="400" w:lineRule="exact"/>
              <w:ind w:firstLine="420" w:firstLineChars="200"/>
              <w:textAlignment w:val="auto"/>
              <w:rPr>
                <w:rFonts w:hint="eastAsia" w:ascii="宋体" w:hAnsi="宋体" w:eastAsia="宋体" w:cs="宋体"/>
                <w:kern w:val="0"/>
                <w:lang w:eastAsia="zh-CN"/>
              </w:rPr>
            </w:pPr>
            <w:r>
              <w:rPr>
                <w:rFonts w:hint="eastAsia" w:ascii="宋体" w:hAnsi="宋体" w:cs="宋体"/>
                <w:kern w:val="0"/>
              </w:rPr>
              <w:t>投标函部分的格式要求法定代表人或其委托代理人签名（或盖章）的须齐全</w:t>
            </w:r>
            <w:r>
              <w:rPr>
                <w:rFonts w:hint="eastAsia" w:ascii="宋体" w:hAnsi="宋体" w:cs="宋体"/>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1545" w:type="dxa"/>
            <w:vMerge w:val="continue"/>
            <w:tcBorders>
              <w:lef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2565" w:type="dxa"/>
            <w:tcBorders>
              <w:right w:val="single" w:color="auto" w:sz="4" w:space="0"/>
            </w:tcBorders>
            <w:noWrap w:val="0"/>
            <w:vAlign w:val="center"/>
          </w:tcPr>
          <w:p>
            <w:pPr>
              <w:pageBreakBefore w:val="0"/>
              <w:widowControl w:val="0"/>
              <w:kinsoku/>
              <w:wordWrap/>
              <w:overflowPunct/>
              <w:topLinePunct w:val="0"/>
              <w:bidi w:val="0"/>
              <w:snapToGrid w:val="0"/>
              <w:spacing w:line="400" w:lineRule="exact"/>
              <w:jc w:val="center"/>
              <w:textAlignment w:val="auto"/>
              <w:rPr>
                <w:rFonts w:ascii="宋体" w:hAnsi="宋体" w:cs="宋体"/>
                <w:kern w:val="0"/>
              </w:rPr>
            </w:pPr>
            <w:r>
              <w:rPr>
                <w:rFonts w:hint="eastAsia" w:ascii="宋体" w:hAnsi="宋体" w:cs="宋体"/>
                <w:kern w:val="0"/>
              </w:rPr>
              <w:t>工期</w:t>
            </w:r>
          </w:p>
        </w:tc>
        <w:tc>
          <w:tcPr>
            <w:tcW w:w="4725" w:type="dxa"/>
            <w:tcBorders>
              <w:left w:val="single" w:color="auto" w:sz="4" w:space="0"/>
            </w:tcBorders>
            <w:noWrap w:val="0"/>
            <w:vAlign w:val="center"/>
          </w:tcPr>
          <w:p>
            <w:pPr>
              <w:pageBreakBefore w:val="0"/>
              <w:widowControl w:val="0"/>
              <w:kinsoku/>
              <w:wordWrap/>
              <w:overflowPunct/>
              <w:topLinePunct w:val="0"/>
              <w:bidi w:val="0"/>
              <w:snapToGrid w:val="0"/>
              <w:spacing w:line="400" w:lineRule="exact"/>
              <w:ind w:firstLine="420" w:firstLineChars="200"/>
              <w:textAlignment w:val="auto"/>
              <w:rPr>
                <w:rFonts w:ascii="宋体" w:hAnsi="宋体" w:cs="宋体"/>
                <w:kern w:val="0"/>
              </w:rPr>
            </w:pPr>
            <w:r>
              <w:rPr>
                <w:rFonts w:hint="eastAsia" w:ascii="宋体" w:hAnsi="宋体" w:cs="宋体"/>
                <w:kern w:val="0"/>
              </w:rPr>
              <w:t>符合第二章“投标人须知”第1.3.2项规定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1545" w:type="dxa"/>
            <w:vMerge w:val="continue"/>
            <w:tcBorders>
              <w:lef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2565" w:type="dxa"/>
            <w:tcBorders>
              <w:right w:val="single" w:color="auto" w:sz="4" w:space="0"/>
            </w:tcBorders>
            <w:noWrap w:val="0"/>
            <w:vAlign w:val="center"/>
          </w:tcPr>
          <w:p>
            <w:pPr>
              <w:pageBreakBefore w:val="0"/>
              <w:widowControl w:val="0"/>
              <w:kinsoku/>
              <w:wordWrap/>
              <w:overflowPunct/>
              <w:topLinePunct w:val="0"/>
              <w:bidi w:val="0"/>
              <w:snapToGrid w:val="0"/>
              <w:spacing w:line="400" w:lineRule="exact"/>
              <w:jc w:val="center"/>
              <w:textAlignment w:val="auto"/>
              <w:rPr>
                <w:rFonts w:ascii="宋体" w:hAnsi="宋体" w:cs="宋体"/>
                <w:kern w:val="0"/>
              </w:rPr>
            </w:pPr>
            <w:r>
              <w:rPr>
                <w:rFonts w:hint="eastAsia" w:ascii="宋体" w:hAnsi="宋体" w:cs="宋体"/>
                <w:kern w:val="0"/>
              </w:rPr>
              <w:t>工程质量</w:t>
            </w:r>
          </w:p>
        </w:tc>
        <w:tc>
          <w:tcPr>
            <w:tcW w:w="4725" w:type="dxa"/>
            <w:tcBorders>
              <w:left w:val="single" w:color="auto" w:sz="4" w:space="0"/>
            </w:tcBorders>
            <w:noWrap w:val="0"/>
            <w:vAlign w:val="center"/>
          </w:tcPr>
          <w:p>
            <w:pPr>
              <w:pageBreakBefore w:val="0"/>
              <w:widowControl w:val="0"/>
              <w:kinsoku/>
              <w:wordWrap/>
              <w:overflowPunct/>
              <w:topLinePunct w:val="0"/>
              <w:bidi w:val="0"/>
              <w:snapToGrid w:val="0"/>
              <w:spacing w:line="400" w:lineRule="exact"/>
              <w:ind w:firstLine="420" w:firstLineChars="200"/>
              <w:textAlignment w:val="auto"/>
              <w:rPr>
                <w:rFonts w:ascii="宋体" w:hAnsi="宋体" w:cs="宋体"/>
                <w:kern w:val="0"/>
              </w:rPr>
            </w:pPr>
            <w:r>
              <w:rPr>
                <w:rFonts w:hint="eastAsia" w:ascii="宋体" w:hAnsi="宋体" w:cs="宋体"/>
                <w:kern w:val="0"/>
              </w:rPr>
              <w:t>符合第二章“投标人须知”第1.3.3项规定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1545" w:type="dxa"/>
            <w:vMerge w:val="continue"/>
            <w:tcBorders>
              <w:lef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2565" w:type="dxa"/>
            <w:tcBorders>
              <w:right w:val="single" w:color="auto" w:sz="4" w:space="0"/>
            </w:tcBorders>
            <w:noWrap w:val="0"/>
            <w:vAlign w:val="center"/>
          </w:tcPr>
          <w:p>
            <w:pPr>
              <w:pageBreakBefore w:val="0"/>
              <w:widowControl w:val="0"/>
              <w:kinsoku/>
              <w:wordWrap/>
              <w:overflowPunct/>
              <w:topLinePunct w:val="0"/>
              <w:bidi w:val="0"/>
              <w:snapToGrid w:val="0"/>
              <w:spacing w:line="400" w:lineRule="exact"/>
              <w:jc w:val="center"/>
              <w:textAlignment w:val="auto"/>
              <w:rPr>
                <w:rFonts w:ascii="宋体" w:hAnsi="宋体" w:cs="宋体"/>
                <w:kern w:val="0"/>
              </w:rPr>
            </w:pPr>
            <w:r>
              <w:rPr>
                <w:rFonts w:hint="eastAsia" w:ascii="宋体" w:hAnsi="宋体" w:cs="宋体"/>
                <w:kern w:val="0"/>
              </w:rPr>
              <w:t>投标有效期</w:t>
            </w:r>
          </w:p>
        </w:tc>
        <w:tc>
          <w:tcPr>
            <w:tcW w:w="4725" w:type="dxa"/>
            <w:tcBorders>
              <w:left w:val="single" w:color="auto" w:sz="4" w:space="0"/>
            </w:tcBorders>
            <w:noWrap w:val="0"/>
            <w:vAlign w:val="center"/>
          </w:tcPr>
          <w:p>
            <w:pPr>
              <w:pageBreakBefore w:val="0"/>
              <w:widowControl w:val="0"/>
              <w:kinsoku/>
              <w:wordWrap/>
              <w:overflowPunct/>
              <w:topLinePunct w:val="0"/>
              <w:bidi w:val="0"/>
              <w:snapToGrid w:val="0"/>
              <w:spacing w:line="400" w:lineRule="exact"/>
              <w:ind w:firstLine="420" w:firstLineChars="200"/>
              <w:textAlignment w:val="auto"/>
              <w:rPr>
                <w:rFonts w:ascii="宋体" w:hAnsi="宋体" w:cs="宋体"/>
                <w:kern w:val="0"/>
              </w:rPr>
            </w:pPr>
            <w:r>
              <w:rPr>
                <w:rFonts w:hint="eastAsia" w:ascii="宋体" w:hAnsi="宋体" w:cs="宋体"/>
                <w:kern w:val="0"/>
              </w:rPr>
              <w:t>符合第二章“投标人须知”第3.3.1项规定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1545" w:type="dxa"/>
            <w:vMerge w:val="continue"/>
            <w:tcBorders>
              <w:lef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2565" w:type="dxa"/>
            <w:tcBorders>
              <w:right w:val="single" w:color="auto" w:sz="4" w:space="0"/>
            </w:tcBorders>
            <w:noWrap w:val="0"/>
            <w:vAlign w:val="center"/>
          </w:tcPr>
          <w:p>
            <w:pPr>
              <w:pageBreakBefore w:val="0"/>
              <w:widowControl w:val="0"/>
              <w:kinsoku/>
              <w:wordWrap/>
              <w:overflowPunct/>
              <w:topLinePunct w:val="0"/>
              <w:bidi w:val="0"/>
              <w:snapToGrid w:val="0"/>
              <w:spacing w:line="400" w:lineRule="exact"/>
              <w:jc w:val="center"/>
              <w:textAlignment w:val="auto"/>
              <w:rPr>
                <w:rFonts w:ascii="宋体" w:hAnsi="宋体" w:cs="宋体"/>
                <w:kern w:val="0"/>
              </w:rPr>
            </w:pPr>
            <w:r>
              <w:rPr>
                <w:rFonts w:hint="eastAsia" w:ascii="宋体" w:hAnsi="宋体" w:cs="宋体"/>
                <w:kern w:val="0"/>
              </w:rPr>
              <w:t>投标总报价</w:t>
            </w:r>
          </w:p>
        </w:tc>
        <w:tc>
          <w:tcPr>
            <w:tcW w:w="4725" w:type="dxa"/>
            <w:tcBorders>
              <w:left w:val="single" w:color="auto" w:sz="4" w:space="0"/>
            </w:tcBorders>
            <w:noWrap w:val="0"/>
            <w:vAlign w:val="center"/>
          </w:tcPr>
          <w:p>
            <w:pPr>
              <w:pageBreakBefore w:val="0"/>
              <w:widowControl w:val="0"/>
              <w:kinsoku/>
              <w:wordWrap/>
              <w:overflowPunct/>
              <w:topLinePunct w:val="0"/>
              <w:bidi w:val="0"/>
              <w:snapToGrid w:val="0"/>
              <w:spacing w:line="400" w:lineRule="exact"/>
              <w:ind w:firstLine="420" w:firstLineChars="200"/>
              <w:textAlignment w:val="auto"/>
              <w:rPr>
                <w:rFonts w:ascii="宋体" w:hAnsi="宋体" w:cs="宋体"/>
                <w:kern w:val="0"/>
              </w:rPr>
            </w:pPr>
            <w:r>
              <w:rPr>
                <w:rFonts w:hint="eastAsia" w:ascii="宋体" w:hAnsi="宋体" w:cs="宋体"/>
                <w:kern w:val="0"/>
              </w:rPr>
              <w:t>1.投标总报价必须与已标价工程量清单总报价一致</w:t>
            </w:r>
            <w:r>
              <w:rPr>
                <w:rFonts w:hint="eastAsia" w:ascii="宋体" w:hAnsi="宋体" w:cs="宋体"/>
                <w:kern w:val="0"/>
                <w:lang w:eastAsia="zh-CN"/>
              </w:rPr>
              <w:t>，</w:t>
            </w:r>
            <w:r>
              <w:rPr>
                <w:rFonts w:hint="eastAsia" w:ascii="宋体" w:hAnsi="宋体" w:cs="宋体"/>
                <w:kern w:val="0"/>
              </w:rPr>
              <w:t>且工程量清单总报价与依据单价、工程数量、分部分项工程合价计算出的结果应一致。</w:t>
            </w:r>
          </w:p>
          <w:p>
            <w:pPr>
              <w:pageBreakBefore w:val="0"/>
              <w:widowControl w:val="0"/>
              <w:kinsoku/>
              <w:wordWrap/>
              <w:overflowPunct/>
              <w:topLinePunct w:val="0"/>
              <w:bidi w:val="0"/>
              <w:snapToGrid w:val="0"/>
              <w:spacing w:line="400" w:lineRule="exact"/>
              <w:ind w:firstLine="420" w:firstLineChars="200"/>
              <w:textAlignment w:val="auto"/>
              <w:rPr>
                <w:rFonts w:ascii="宋体" w:hAnsi="宋体" w:cs="宋体"/>
                <w:kern w:val="0"/>
              </w:rPr>
            </w:pPr>
            <w:r>
              <w:rPr>
                <w:rFonts w:hint="eastAsia" w:ascii="宋体" w:hAnsi="宋体" w:cs="宋体"/>
                <w:kern w:val="0"/>
              </w:rPr>
              <w:t>2.投标总报价不得高于招标人公布的投标总报价最高限价。</w:t>
            </w:r>
          </w:p>
          <w:p>
            <w:pPr>
              <w:pageBreakBefore w:val="0"/>
              <w:widowControl w:val="0"/>
              <w:kinsoku/>
              <w:wordWrap/>
              <w:overflowPunct/>
              <w:topLinePunct w:val="0"/>
              <w:bidi w:val="0"/>
              <w:snapToGrid w:val="0"/>
              <w:spacing w:line="400" w:lineRule="exact"/>
              <w:ind w:firstLine="420" w:firstLineChars="200"/>
              <w:textAlignment w:val="auto"/>
              <w:rPr>
                <w:rFonts w:ascii="宋体" w:hAnsi="宋体" w:cs="宋体"/>
                <w:kern w:val="0"/>
              </w:rPr>
            </w:pPr>
            <w:r>
              <w:rPr>
                <w:rFonts w:hint="eastAsia" w:ascii="宋体" w:hAnsi="宋体" w:cs="宋体"/>
                <w:kern w:val="0"/>
              </w:rPr>
              <w:t>3.投标总报价低于最高限价85%的，投标人应在编制投标文件时，在投标函部分中递交低价风险担保提交承诺书。承诺书格式详见第八章投标文件格式。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1545" w:type="dxa"/>
            <w:vMerge w:val="continue"/>
            <w:tcBorders>
              <w:lef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2565" w:type="dxa"/>
            <w:tcBorders>
              <w:right w:val="single" w:color="auto" w:sz="4" w:space="0"/>
            </w:tcBorders>
            <w:noWrap w:val="0"/>
            <w:vAlign w:val="center"/>
          </w:tcPr>
          <w:p>
            <w:pPr>
              <w:pageBreakBefore w:val="0"/>
              <w:widowControl w:val="0"/>
              <w:kinsoku/>
              <w:wordWrap/>
              <w:overflowPunct/>
              <w:topLinePunct w:val="0"/>
              <w:bidi w:val="0"/>
              <w:snapToGrid w:val="0"/>
              <w:spacing w:line="400" w:lineRule="exact"/>
              <w:jc w:val="center"/>
              <w:textAlignment w:val="auto"/>
              <w:rPr>
                <w:rFonts w:ascii="宋体" w:hAnsi="宋体" w:cs="宋体"/>
                <w:kern w:val="0"/>
              </w:rPr>
            </w:pPr>
            <w:r>
              <w:rPr>
                <w:rFonts w:hint="eastAsia" w:ascii="宋体" w:hAnsi="宋体" w:cs="宋体"/>
                <w:kern w:val="0"/>
              </w:rPr>
              <w:t>暂定金额</w:t>
            </w:r>
          </w:p>
        </w:tc>
        <w:tc>
          <w:tcPr>
            <w:tcW w:w="4725" w:type="dxa"/>
            <w:tcBorders>
              <w:left w:val="single" w:color="auto" w:sz="4" w:space="0"/>
            </w:tcBorders>
            <w:noWrap w:val="0"/>
            <w:vAlign w:val="center"/>
          </w:tcPr>
          <w:p>
            <w:pPr>
              <w:pageBreakBefore w:val="0"/>
              <w:widowControl w:val="0"/>
              <w:kinsoku/>
              <w:wordWrap/>
              <w:overflowPunct/>
              <w:topLinePunct w:val="0"/>
              <w:bidi w:val="0"/>
              <w:snapToGrid w:val="0"/>
              <w:spacing w:line="400" w:lineRule="exact"/>
              <w:ind w:firstLine="420" w:firstLineChars="200"/>
              <w:textAlignment w:val="auto"/>
              <w:rPr>
                <w:rFonts w:ascii="宋体" w:hAnsi="宋体" w:cs="宋体"/>
                <w:kern w:val="0"/>
              </w:rPr>
            </w:pPr>
            <w:r>
              <w:rPr>
                <w:rFonts w:hint="eastAsia" w:ascii="宋体" w:hAnsi="宋体" w:cs="宋体"/>
                <w:kern w:val="0"/>
              </w:rPr>
              <w:t>暂列金额、暂估价、安全文明施工费等暂定金额必须按照招标文件给定的金额填报。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1545" w:type="dxa"/>
            <w:vMerge w:val="continue"/>
            <w:tcBorders>
              <w:lef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2565" w:type="dxa"/>
            <w:tcBorders>
              <w:right w:val="single" w:color="auto" w:sz="4" w:space="0"/>
            </w:tcBorders>
            <w:noWrap w:val="0"/>
            <w:vAlign w:val="center"/>
          </w:tcPr>
          <w:p>
            <w:pPr>
              <w:pageBreakBefore w:val="0"/>
              <w:widowControl w:val="0"/>
              <w:kinsoku/>
              <w:wordWrap/>
              <w:overflowPunct/>
              <w:topLinePunct w:val="0"/>
              <w:bidi w:val="0"/>
              <w:snapToGrid w:val="0"/>
              <w:spacing w:line="400" w:lineRule="exact"/>
              <w:jc w:val="center"/>
              <w:textAlignment w:val="auto"/>
              <w:rPr>
                <w:rFonts w:ascii="宋体" w:hAnsi="宋体" w:cs="宋体"/>
                <w:kern w:val="0"/>
              </w:rPr>
            </w:pPr>
            <w:r>
              <w:rPr>
                <w:rFonts w:hint="eastAsia" w:ascii="宋体" w:hAnsi="宋体" w:cs="宋体"/>
                <w:kern w:val="0"/>
              </w:rPr>
              <w:t>报价唯一</w:t>
            </w:r>
          </w:p>
        </w:tc>
        <w:tc>
          <w:tcPr>
            <w:tcW w:w="4725" w:type="dxa"/>
            <w:tcBorders>
              <w:left w:val="single" w:color="auto" w:sz="4" w:space="0"/>
            </w:tcBorders>
            <w:noWrap w:val="0"/>
            <w:vAlign w:val="center"/>
          </w:tcPr>
          <w:p>
            <w:pPr>
              <w:pageBreakBefore w:val="0"/>
              <w:widowControl w:val="0"/>
              <w:kinsoku/>
              <w:wordWrap/>
              <w:overflowPunct/>
              <w:topLinePunct w:val="0"/>
              <w:bidi w:val="0"/>
              <w:snapToGrid w:val="0"/>
              <w:spacing w:line="400" w:lineRule="exact"/>
              <w:ind w:firstLine="420" w:firstLineChars="200"/>
              <w:textAlignment w:val="auto"/>
              <w:rPr>
                <w:rFonts w:ascii="宋体" w:hAnsi="宋体" w:cs="宋体"/>
                <w:kern w:val="0"/>
              </w:rPr>
            </w:pPr>
            <w:r>
              <w:rPr>
                <w:rFonts w:hint="eastAsia" w:ascii="宋体" w:hAnsi="宋体" w:cs="宋体"/>
                <w:kern w:val="0"/>
              </w:rPr>
              <w:t>只能有一个有效报价。在招标文件没有规定的情况下，不得提交选择性报价。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1545" w:type="dxa"/>
            <w:vMerge w:val="continue"/>
            <w:tcBorders>
              <w:lef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2565" w:type="dxa"/>
            <w:tcBorders>
              <w:right w:val="single" w:color="auto" w:sz="4" w:space="0"/>
            </w:tcBorders>
            <w:noWrap w:val="0"/>
            <w:vAlign w:val="center"/>
          </w:tcPr>
          <w:p>
            <w:pPr>
              <w:pageBreakBefore w:val="0"/>
              <w:widowControl w:val="0"/>
              <w:kinsoku/>
              <w:wordWrap/>
              <w:overflowPunct/>
              <w:topLinePunct w:val="0"/>
              <w:bidi w:val="0"/>
              <w:snapToGrid w:val="0"/>
              <w:spacing w:line="400" w:lineRule="exact"/>
              <w:jc w:val="center"/>
              <w:textAlignment w:val="auto"/>
              <w:rPr>
                <w:rFonts w:ascii="宋体" w:hAnsi="宋体" w:cs="宋体"/>
                <w:kern w:val="0"/>
              </w:rPr>
            </w:pPr>
            <w:r>
              <w:rPr>
                <w:rFonts w:hint="eastAsia" w:ascii="宋体" w:hAnsi="宋体" w:cs="宋体"/>
                <w:kern w:val="0"/>
              </w:rPr>
              <w:t>已标价工程量清单</w:t>
            </w:r>
          </w:p>
        </w:tc>
        <w:tc>
          <w:tcPr>
            <w:tcW w:w="4725" w:type="dxa"/>
            <w:tcBorders>
              <w:left w:val="single" w:color="auto" w:sz="4" w:space="0"/>
            </w:tcBorders>
            <w:noWrap w:val="0"/>
            <w:vAlign w:val="center"/>
          </w:tcPr>
          <w:p>
            <w:pPr>
              <w:pageBreakBefore w:val="0"/>
              <w:widowControl w:val="0"/>
              <w:kinsoku/>
              <w:wordWrap/>
              <w:overflowPunct/>
              <w:topLinePunct w:val="0"/>
              <w:bidi w:val="0"/>
              <w:spacing w:line="400" w:lineRule="exact"/>
              <w:ind w:firstLine="420" w:firstLineChars="200"/>
              <w:textAlignment w:val="auto"/>
              <w:rPr>
                <w:rFonts w:ascii="宋体" w:hAnsi="宋体" w:cs="宋体"/>
                <w:kern w:val="0"/>
              </w:rPr>
            </w:pPr>
            <w:r>
              <w:rPr>
                <w:rFonts w:hint="eastAsia" w:ascii="宋体" w:hAnsi="宋体" w:cs="宋体"/>
                <w:kern w:val="0"/>
              </w:rPr>
              <w:t>1.符合第五章“工程量清单”给出的范围及数量。</w:t>
            </w:r>
          </w:p>
          <w:p>
            <w:pPr>
              <w:pageBreakBefore w:val="0"/>
              <w:widowControl w:val="0"/>
              <w:kinsoku/>
              <w:wordWrap/>
              <w:overflowPunct/>
              <w:topLinePunct w:val="0"/>
              <w:bidi w:val="0"/>
              <w:snapToGrid w:val="0"/>
              <w:spacing w:line="400" w:lineRule="exact"/>
              <w:ind w:firstLine="420" w:firstLineChars="200"/>
              <w:textAlignment w:val="auto"/>
              <w:rPr>
                <w:rFonts w:ascii="宋体" w:hAnsi="宋体" w:cs="宋体"/>
                <w:kern w:val="0"/>
              </w:rPr>
            </w:pPr>
            <w:r>
              <w:rPr>
                <w:rFonts w:hint="eastAsia" w:ascii="宋体" w:hAnsi="宋体" w:cs="宋体"/>
                <w:kern w:val="0"/>
              </w:rPr>
              <w:t>2.招标文件中规定工程量清单不允许修改的内容不得修改。</w:t>
            </w:r>
          </w:p>
          <w:p>
            <w:pPr>
              <w:pageBreakBefore w:val="0"/>
              <w:widowControl w:val="0"/>
              <w:kinsoku/>
              <w:wordWrap/>
              <w:overflowPunct/>
              <w:topLinePunct w:val="0"/>
              <w:bidi w:val="0"/>
              <w:snapToGrid w:val="0"/>
              <w:spacing w:line="400" w:lineRule="exact"/>
              <w:ind w:firstLine="420" w:firstLineChars="200"/>
              <w:textAlignment w:val="auto"/>
              <w:rPr>
                <w:rFonts w:ascii="宋体" w:hAnsi="宋体" w:cs="宋体"/>
                <w:kern w:val="0"/>
              </w:rPr>
            </w:pPr>
            <w:r>
              <w:rPr>
                <w:rFonts w:hint="eastAsia" w:ascii="宋体" w:hAnsi="宋体" w:cs="宋体"/>
                <w:kern w:val="0"/>
              </w:rPr>
              <w:t>3.每项清单综合单价报价不得高于每项清单综合单价最高限价。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900" w:type="dxa"/>
            <w:vMerge w:val="continue"/>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1545" w:type="dxa"/>
            <w:vMerge w:val="continue"/>
            <w:tcBorders>
              <w:lef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2565" w:type="dxa"/>
            <w:tcBorders>
              <w:right w:val="single" w:color="auto" w:sz="4" w:space="0"/>
            </w:tcBorders>
            <w:noWrap w:val="0"/>
            <w:vAlign w:val="center"/>
          </w:tcPr>
          <w:p>
            <w:pPr>
              <w:pageBreakBefore w:val="0"/>
              <w:widowControl w:val="0"/>
              <w:kinsoku/>
              <w:wordWrap/>
              <w:overflowPunct/>
              <w:topLinePunct w:val="0"/>
              <w:bidi w:val="0"/>
              <w:snapToGrid w:val="0"/>
              <w:spacing w:line="400" w:lineRule="exact"/>
              <w:jc w:val="center"/>
              <w:textAlignment w:val="auto"/>
              <w:rPr>
                <w:rFonts w:ascii="宋体" w:hAnsi="宋体" w:cs="宋体"/>
                <w:kern w:val="0"/>
              </w:rPr>
            </w:pPr>
            <w:r>
              <w:rPr>
                <w:rFonts w:hint="eastAsia" w:ascii="宋体" w:hAnsi="宋体" w:cs="宋体"/>
                <w:kern w:val="0"/>
              </w:rPr>
              <w:t>投标报价算术错误修正</w:t>
            </w:r>
          </w:p>
        </w:tc>
        <w:tc>
          <w:tcPr>
            <w:tcW w:w="4725" w:type="dxa"/>
            <w:tcBorders>
              <w:left w:val="single" w:color="auto" w:sz="4" w:space="0"/>
            </w:tcBorders>
            <w:noWrap w:val="0"/>
            <w:vAlign w:val="center"/>
          </w:tcPr>
          <w:p>
            <w:pPr>
              <w:pageBreakBefore w:val="0"/>
              <w:widowControl w:val="0"/>
              <w:kinsoku/>
              <w:wordWrap/>
              <w:overflowPunct/>
              <w:topLinePunct w:val="0"/>
              <w:bidi w:val="0"/>
              <w:snapToGrid w:val="0"/>
              <w:spacing w:line="400" w:lineRule="exact"/>
              <w:ind w:firstLine="420" w:firstLineChars="200"/>
              <w:textAlignment w:val="auto"/>
              <w:rPr>
                <w:rFonts w:ascii="宋体" w:hAnsi="宋体" w:cs="宋体"/>
                <w:kern w:val="0"/>
              </w:rPr>
            </w:pPr>
            <w:r>
              <w:rPr>
                <w:rFonts w:hint="eastAsia" w:ascii="宋体" w:hAnsi="宋体" w:cs="宋体"/>
                <w:kern w:val="0"/>
              </w:rPr>
              <w:t>符合第三章“评标办法”第3.2.3项规定。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00" w:type="dxa"/>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rPr>
            </w:pPr>
            <w:r>
              <w:rPr>
                <w:rFonts w:ascii="宋体" w:hAnsi="宋体"/>
              </w:rPr>
              <w:t>3</w:t>
            </w:r>
          </w:p>
        </w:tc>
        <w:tc>
          <w:tcPr>
            <w:tcW w:w="1545" w:type="dxa"/>
            <w:tcBorders>
              <w:left w:val="single" w:color="auto" w:sz="4" w:space="0"/>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rPr>
            </w:pPr>
            <w:r>
              <w:rPr>
                <w:rFonts w:hint="eastAsia" w:ascii="宋体" w:hAnsi="宋体"/>
              </w:rPr>
              <w:t>评标程序</w:t>
            </w:r>
          </w:p>
        </w:tc>
        <w:tc>
          <w:tcPr>
            <w:tcW w:w="7290" w:type="dxa"/>
            <w:gridSpan w:val="2"/>
            <w:tcBorders>
              <w:left w:val="single" w:color="auto" w:sz="4" w:space="0"/>
            </w:tcBorders>
            <w:noWrap w:val="0"/>
            <w:vAlign w:val="center"/>
          </w:tcPr>
          <w:p>
            <w:pPr>
              <w:pageBreakBefore w:val="0"/>
              <w:widowControl w:val="0"/>
              <w:kinsoku/>
              <w:wordWrap/>
              <w:overflowPunct/>
              <w:topLinePunct w:val="0"/>
              <w:bidi w:val="0"/>
              <w:spacing w:line="400" w:lineRule="exact"/>
              <w:ind w:firstLine="420" w:firstLineChars="200"/>
              <w:jc w:val="left"/>
              <w:textAlignment w:val="auto"/>
              <w:rPr>
                <w:rFonts w:ascii="宋体" w:hAnsi="宋体"/>
                <w:kern w:val="0"/>
                <w:szCs w:val="21"/>
              </w:rPr>
            </w:pPr>
            <w:r>
              <w:rPr>
                <w:rFonts w:hint="eastAsia" w:ascii="宋体" w:hAnsi="宋体"/>
                <w:kern w:val="0"/>
                <w:szCs w:val="21"/>
              </w:rPr>
              <w:t>1.对报价不高于最高限价的所有投标人的投标文件，按照报价由低到高的顺序排序。在投标函部分及经济部分评审前，推送给评标委员会的投标文件不得显示排序。</w:t>
            </w:r>
          </w:p>
          <w:p>
            <w:pPr>
              <w:pageBreakBefore w:val="0"/>
              <w:widowControl w:val="0"/>
              <w:kinsoku/>
              <w:wordWrap/>
              <w:overflowPunct/>
              <w:topLinePunct w:val="0"/>
              <w:bidi w:val="0"/>
              <w:spacing w:line="400" w:lineRule="exact"/>
              <w:ind w:firstLine="420" w:firstLineChars="200"/>
              <w:jc w:val="left"/>
              <w:textAlignment w:val="auto"/>
              <w:rPr>
                <w:rFonts w:ascii="宋体" w:hAnsi="宋体"/>
                <w:kern w:val="0"/>
                <w:szCs w:val="21"/>
              </w:rPr>
            </w:pPr>
            <w:r>
              <w:rPr>
                <w:rFonts w:hint="eastAsia" w:ascii="宋体" w:hAnsi="宋体"/>
                <w:kern w:val="0"/>
                <w:szCs w:val="21"/>
              </w:rPr>
              <w:t>2.根据本章第2.2款约定进行符合性审查</w:t>
            </w:r>
            <w:r>
              <w:rPr>
                <w:rFonts w:hint="eastAsia" w:ascii="宋体" w:hAnsi="宋体"/>
                <w:spacing w:val="4"/>
                <w:kern w:val="0"/>
                <w:szCs w:val="21"/>
              </w:rPr>
              <w:t>。符合性审查</w:t>
            </w:r>
            <w:r>
              <w:rPr>
                <w:rFonts w:hint="eastAsia" w:ascii="宋体" w:hAnsi="宋体"/>
                <w:kern w:val="0"/>
                <w:szCs w:val="21"/>
              </w:rPr>
              <w:t>合格的投标人中，报价最低的成为第一中标候选人，报价次低的成为第二中标候选人，依次类推。</w:t>
            </w:r>
          </w:p>
          <w:p>
            <w:pPr>
              <w:pageBreakBefore w:val="0"/>
              <w:widowControl w:val="0"/>
              <w:kinsoku/>
              <w:wordWrap/>
              <w:overflowPunct/>
              <w:topLinePunct w:val="0"/>
              <w:bidi w:val="0"/>
              <w:spacing w:line="400" w:lineRule="exact"/>
              <w:ind w:firstLine="420" w:firstLineChars="200"/>
              <w:jc w:val="left"/>
              <w:textAlignment w:val="auto"/>
              <w:rPr>
                <w:rFonts w:ascii="宋体" w:hAnsi="宋体"/>
                <w:kern w:val="0"/>
                <w:szCs w:val="21"/>
              </w:rPr>
            </w:pPr>
            <w:r>
              <w:rPr>
                <w:rFonts w:hint="eastAsia" w:ascii="宋体" w:hAnsi="宋体"/>
                <w:kern w:val="0"/>
                <w:szCs w:val="21"/>
              </w:rPr>
              <w:t>3.</w:t>
            </w:r>
            <w:r>
              <w:rPr>
                <w:rFonts w:hint="eastAsia" w:ascii="宋体" w:hAnsi="宋体"/>
                <w:spacing w:val="4"/>
                <w:kern w:val="0"/>
                <w:szCs w:val="21"/>
              </w:rPr>
              <w:t>若上述程序未能评出三名中标候选人</w:t>
            </w:r>
            <w:r>
              <w:rPr>
                <w:rFonts w:hint="eastAsia" w:ascii="宋体" w:hAnsi="宋体"/>
                <w:kern w:val="0"/>
                <w:szCs w:val="21"/>
              </w:rPr>
              <w:t>，则评标委员会对剩余投标文件继续按上述第2条进行评审，直至评出三名中标候选人，或者评审完所有投标文件。</w:t>
            </w:r>
          </w:p>
          <w:p>
            <w:pPr>
              <w:pageBreakBefore w:val="0"/>
              <w:widowControl w:val="0"/>
              <w:kinsoku/>
              <w:wordWrap/>
              <w:overflowPunct/>
              <w:topLinePunct w:val="0"/>
              <w:bidi w:val="0"/>
              <w:spacing w:line="400" w:lineRule="exact"/>
              <w:ind w:firstLine="420" w:firstLineChars="200"/>
              <w:jc w:val="left"/>
              <w:textAlignment w:val="auto"/>
              <w:rPr>
                <w:rFonts w:ascii="宋体" w:hAnsi="宋体"/>
                <w:kern w:val="0"/>
                <w:szCs w:val="21"/>
              </w:rPr>
            </w:pPr>
            <w:r>
              <w:rPr>
                <w:rFonts w:hint="eastAsia" w:ascii="宋体" w:hAnsi="宋体"/>
                <w:kern w:val="0"/>
                <w:szCs w:val="21"/>
              </w:rPr>
              <w:t>4.</w:t>
            </w:r>
            <w:r>
              <w:rPr>
                <w:rFonts w:hint="eastAsia"/>
              </w:rPr>
              <w:t xml:space="preserve"> </w:t>
            </w:r>
            <w:r>
              <w:rPr>
                <w:rFonts w:hint="eastAsia" w:ascii="宋体" w:hAnsi="宋体"/>
                <w:kern w:val="0"/>
                <w:szCs w:val="21"/>
              </w:rPr>
              <w:t>因评标委员会作否决投标处理，导致有效投标人不足三个的，评标委员会应当否决所有投标。但是有效投标人的经济、技术等指标仍然具有市场竞争力，并满足招标文件要求的，评标委员会可以继续评标并确定中标候选人。</w:t>
            </w:r>
          </w:p>
          <w:p>
            <w:pPr>
              <w:pageBreakBefore w:val="0"/>
              <w:widowControl w:val="0"/>
              <w:kinsoku/>
              <w:wordWrap/>
              <w:overflowPunct/>
              <w:topLinePunct w:val="0"/>
              <w:bidi w:val="0"/>
              <w:spacing w:line="400" w:lineRule="exact"/>
              <w:ind w:firstLine="420" w:firstLineChars="200"/>
              <w:jc w:val="left"/>
              <w:textAlignment w:val="auto"/>
              <w:rPr>
                <w:rFonts w:ascii="宋体" w:hAnsi="宋体"/>
                <w:kern w:val="0"/>
                <w:szCs w:val="21"/>
              </w:rPr>
            </w:pPr>
            <w:r>
              <w:rPr>
                <w:rFonts w:hint="eastAsia" w:ascii="宋体" w:hAnsi="宋体"/>
                <w:kern w:val="0"/>
                <w:szCs w:val="21"/>
              </w:rPr>
              <w:t>注：若出现投标人投标报价相同的，以“投标人在红名单中优先”的原则排序</w:t>
            </w:r>
            <w:r>
              <w:rPr>
                <w:rFonts w:hint="eastAsia" w:ascii="宋体" w:hAnsi="宋体"/>
                <w:spacing w:val="4"/>
                <w:kern w:val="0"/>
                <w:szCs w:val="21"/>
              </w:rPr>
              <w:t>，投标人是否属于红名单，以开标环节信用状况查询结果为准</w:t>
            </w:r>
            <w:r>
              <w:rPr>
                <w:rFonts w:hint="eastAsia" w:ascii="宋体" w:hAnsi="宋体"/>
                <w:kern w:val="0"/>
                <w:szCs w:val="21"/>
              </w:rPr>
              <w:t>；投标人均在红名单中</w:t>
            </w:r>
            <w:r>
              <w:rPr>
                <w:rFonts w:hint="eastAsia" w:ascii="宋体" w:hAnsi="宋体"/>
                <w:spacing w:val="4"/>
                <w:kern w:val="0"/>
                <w:szCs w:val="21"/>
              </w:rPr>
              <w:t>或均不在红名单中的，由评标委员会</w:t>
            </w:r>
            <w:r>
              <w:rPr>
                <w:rFonts w:hint="eastAsia" w:ascii="宋体" w:hAnsi="宋体"/>
                <w:spacing w:val="-7"/>
                <w:u w:val="single"/>
              </w:rPr>
              <w:t>全体成员</w:t>
            </w:r>
            <w:r>
              <w:rPr>
                <w:rFonts w:hint="eastAsia" w:ascii="宋体" w:hAnsi="宋体"/>
                <w:u w:val="single"/>
              </w:rPr>
              <w:t>投票，并按简单多数</w:t>
            </w:r>
            <w:r>
              <w:rPr>
                <w:rFonts w:hint="eastAsia" w:ascii="宋体" w:hAnsi="宋体"/>
                <w:spacing w:val="4"/>
                <w:kern w:val="0"/>
                <w:szCs w:val="21"/>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900" w:type="dxa"/>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rPr>
            </w:pPr>
            <w:r>
              <w:rPr>
                <w:rFonts w:hint="eastAsia" w:ascii="宋体" w:hAnsi="宋体"/>
              </w:rPr>
              <w:t>3.4</w:t>
            </w:r>
          </w:p>
        </w:tc>
        <w:tc>
          <w:tcPr>
            <w:tcW w:w="1545" w:type="dxa"/>
            <w:tcBorders>
              <w:left w:val="single" w:color="auto" w:sz="4" w:space="0"/>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rPr>
            </w:pPr>
            <w:r>
              <w:rPr>
                <w:rFonts w:ascii="宋体" w:hAnsi="宋体"/>
              </w:rPr>
              <w:t>评标结果</w:t>
            </w:r>
          </w:p>
        </w:tc>
        <w:tc>
          <w:tcPr>
            <w:tcW w:w="7290" w:type="dxa"/>
            <w:gridSpan w:val="2"/>
            <w:tcBorders>
              <w:left w:val="single" w:color="auto" w:sz="4" w:space="0"/>
            </w:tcBorders>
            <w:noWrap w:val="0"/>
            <w:vAlign w:val="center"/>
          </w:tcPr>
          <w:p>
            <w:pPr>
              <w:pageBreakBefore w:val="0"/>
              <w:widowControl w:val="0"/>
              <w:kinsoku/>
              <w:wordWrap/>
              <w:overflowPunct/>
              <w:topLinePunct w:val="0"/>
              <w:autoSpaceDE w:val="0"/>
              <w:autoSpaceDN w:val="0"/>
              <w:bidi w:val="0"/>
              <w:adjustRightInd w:val="0"/>
              <w:snapToGrid w:val="0"/>
              <w:spacing w:line="400" w:lineRule="exact"/>
              <w:ind w:firstLine="420"/>
              <w:jc w:val="left"/>
              <w:textAlignment w:val="auto"/>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.1</w:t>
            </w:r>
            <w:r>
              <w:rPr>
                <w:rFonts w:hint="eastAsia" w:ascii="宋体" w:hAnsi="宋体"/>
                <w:kern w:val="0"/>
                <w:szCs w:val="21"/>
              </w:rPr>
              <w:t xml:space="preserve"> </w:t>
            </w:r>
            <w:r>
              <w:rPr>
                <w:rFonts w:ascii="宋体" w:hAnsi="宋体"/>
                <w:kern w:val="0"/>
                <w:szCs w:val="21"/>
              </w:rPr>
              <w:t>除第二章“投标</w:t>
            </w:r>
            <w:r>
              <w:rPr>
                <w:rFonts w:ascii="宋体" w:hAnsi="宋体"/>
                <w:spacing w:val="1"/>
                <w:kern w:val="0"/>
                <w:szCs w:val="21"/>
              </w:rPr>
              <w:t>人</w:t>
            </w:r>
            <w:r>
              <w:rPr>
                <w:rFonts w:ascii="宋体" w:hAnsi="宋体"/>
                <w:kern w:val="0"/>
                <w:szCs w:val="21"/>
              </w:rPr>
              <w:t>须知”前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hint="eastAsia" w:ascii="宋体" w:hAnsi="宋体"/>
                <w:kern w:val="0"/>
                <w:szCs w:val="21"/>
              </w:rPr>
              <w:t>按经评审的最低投标价法</w:t>
            </w:r>
            <w:r>
              <w:rPr>
                <w:rFonts w:ascii="宋体" w:hAnsi="宋体"/>
                <w:kern w:val="0"/>
                <w:szCs w:val="21"/>
              </w:rPr>
              <w:t>推荐中标候选人。</w:t>
            </w:r>
          </w:p>
          <w:p>
            <w:pPr>
              <w:pageBreakBefore w:val="0"/>
              <w:widowControl w:val="0"/>
              <w:kinsoku/>
              <w:wordWrap/>
              <w:overflowPunct/>
              <w:topLinePunct w:val="0"/>
              <w:bidi w:val="0"/>
              <w:spacing w:line="400" w:lineRule="exact"/>
              <w:ind w:firstLine="424" w:firstLineChars="200"/>
              <w:textAlignment w:val="auto"/>
              <w:rPr>
                <w:rFonts w:ascii="宋体" w:hAnsi="宋体"/>
              </w:rPr>
            </w:pPr>
            <w:r>
              <w:rPr>
                <w:rFonts w:ascii="宋体" w:hAnsi="宋体"/>
                <w:spacing w:val="1"/>
                <w:kern w:val="0"/>
                <w:szCs w:val="21"/>
              </w:rPr>
              <w:t>3</w:t>
            </w:r>
            <w:r>
              <w:rPr>
                <w:rFonts w:ascii="宋体" w:hAnsi="宋体"/>
                <w:kern w:val="0"/>
                <w:szCs w:val="21"/>
              </w:rPr>
              <w:t>.4.2</w:t>
            </w:r>
            <w:r>
              <w:rPr>
                <w:rFonts w:hint="eastAsia" w:ascii="宋体" w:hAnsi="宋体"/>
                <w:kern w:val="0"/>
                <w:szCs w:val="21"/>
              </w:rPr>
              <w:t xml:space="preserve"> </w:t>
            </w:r>
            <w:r>
              <w:rPr>
                <w:rFonts w:ascii="宋体" w:hAnsi="宋体"/>
                <w:kern w:val="0"/>
                <w:szCs w:val="21"/>
              </w:rPr>
              <w:t>评标</w:t>
            </w:r>
            <w:r>
              <w:rPr>
                <w:rFonts w:ascii="宋体" w:hAnsi="宋体"/>
                <w:spacing w:val="-1"/>
                <w:kern w:val="0"/>
                <w:szCs w:val="21"/>
              </w:rPr>
              <w:t>委</w:t>
            </w:r>
            <w:r>
              <w:rPr>
                <w:rFonts w:ascii="宋体" w:hAnsi="宋体"/>
                <w:kern w:val="0"/>
                <w:szCs w:val="21"/>
              </w:rPr>
              <w:t>员会完成评标后，应当向招标人提交书面评标报告。</w:t>
            </w:r>
          </w:p>
        </w:tc>
      </w:tr>
    </w:tbl>
    <w:p>
      <w:pPr>
        <w:pStyle w:val="6"/>
        <w:pageBreakBefore w:val="0"/>
        <w:widowControl w:val="0"/>
        <w:kinsoku/>
        <w:wordWrap/>
        <w:overflowPunct/>
        <w:topLinePunct w:val="0"/>
        <w:bidi w:val="0"/>
        <w:spacing w:before="0" w:after="0" w:line="500" w:lineRule="exact"/>
        <w:jc w:val="left"/>
        <w:textAlignment w:val="auto"/>
        <w:rPr>
          <w:rFonts w:ascii="宋体" w:hAnsi="宋体"/>
          <w:bCs w:val="0"/>
          <w:snapToGrid w:val="0"/>
        </w:rPr>
      </w:pPr>
      <w:r>
        <w:rPr>
          <w:rFonts w:ascii="宋体" w:hAnsi="宋体"/>
          <w:bCs w:val="0"/>
          <w:snapToGrid w:val="0"/>
        </w:rPr>
        <w:br w:type="page"/>
      </w:r>
      <w:bookmarkStart w:id="459" w:name="_Toc57820616"/>
      <w:r>
        <w:rPr>
          <w:rFonts w:ascii="宋体" w:hAnsi="宋体"/>
          <w:b w:val="0"/>
          <w:snapToGrid w:val="0"/>
        </w:rPr>
        <w:t>1.  评标方法</w:t>
      </w:r>
      <w:bookmarkEnd w:id="459"/>
    </w:p>
    <w:p>
      <w:pPr>
        <w:pageBreakBefore w:val="0"/>
        <w:widowControl w:val="0"/>
        <w:kinsoku/>
        <w:wordWrap/>
        <w:overflowPunct/>
        <w:topLinePunct w:val="0"/>
        <w:bidi w:val="0"/>
        <w:spacing w:line="500" w:lineRule="exact"/>
        <w:ind w:firstLine="420" w:firstLineChars="200"/>
        <w:jc w:val="left"/>
        <w:textAlignment w:val="auto"/>
        <w:rPr>
          <w:rFonts w:ascii="宋体" w:hAnsi="宋体"/>
        </w:rPr>
      </w:pPr>
      <w:r>
        <w:rPr>
          <w:rFonts w:hint="eastAsia" w:ascii="宋体" w:hAnsi="宋体"/>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评标办法前附表约定的原则确定排序。</w:t>
      </w:r>
    </w:p>
    <w:p>
      <w:pPr>
        <w:pStyle w:val="6"/>
        <w:pageBreakBefore w:val="0"/>
        <w:widowControl w:val="0"/>
        <w:kinsoku/>
        <w:wordWrap/>
        <w:overflowPunct/>
        <w:topLinePunct w:val="0"/>
        <w:bidi w:val="0"/>
        <w:spacing w:before="0" w:after="0" w:line="500" w:lineRule="exact"/>
        <w:jc w:val="left"/>
        <w:textAlignment w:val="auto"/>
        <w:rPr>
          <w:rFonts w:ascii="宋体" w:hAnsi="宋体"/>
          <w:b w:val="0"/>
          <w:snapToGrid w:val="0"/>
        </w:rPr>
      </w:pPr>
      <w:bookmarkStart w:id="460" w:name="_Toc57820617"/>
      <w:r>
        <w:rPr>
          <w:rFonts w:ascii="宋体" w:hAnsi="宋体"/>
          <w:b w:val="0"/>
          <w:snapToGrid w:val="0"/>
        </w:rPr>
        <w:t>2.  评审标准</w:t>
      </w:r>
      <w:bookmarkEnd w:id="460"/>
    </w:p>
    <w:p>
      <w:pPr>
        <w:pStyle w:val="7"/>
        <w:pageBreakBefore w:val="0"/>
        <w:widowControl w:val="0"/>
        <w:kinsoku/>
        <w:wordWrap/>
        <w:overflowPunct/>
        <w:topLinePunct w:val="0"/>
        <w:bidi w:val="0"/>
        <w:spacing w:before="0" w:after="0" w:line="500" w:lineRule="exact"/>
        <w:jc w:val="left"/>
        <w:textAlignment w:val="auto"/>
        <w:rPr>
          <w:rFonts w:ascii="宋体" w:hAnsi="宋体" w:cs="宋体"/>
          <w:sz w:val="21"/>
          <w:szCs w:val="21"/>
        </w:rPr>
      </w:pPr>
      <w:bookmarkStart w:id="461" w:name="_Toc57820618"/>
      <w:r>
        <w:rPr>
          <w:rFonts w:ascii="宋体" w:hAnsi="宋体" w:cs="宋体"/>
          <w:sz w:val="21"/>
          <w:szCs w:val="21"/>
        </w:rPr>
        <w:t>2.1</w:t>
      </w:r>
      <w:r>
        <w:rPr>
          <w:rFonts w:hint="eastAsia" w:ascii="宋体" w:hAnsi="宋体" w:cs="宋体"/>
          <w:sz w:val="21"/>
          <w:szCs w:val="21"/>
        </w:rPr>
        <w:t>报价</w:t>
      </w:r>
      <w:r>
        <w:rPr>
          <w:rFonts w:ascii="宋体" w:hAnsi="宋体" w:cs="宋体"/>
          <w:sz w:val="21"/>
          <w:szCs w:val="21"/>
        </w:rPr>
        <w:t>排序</w:t>
      </w:r>
      <w:r>
        <w:rPr>
          <w:rFonts w:hint="eastAsia" w:ascii="宋体" w:hAnsi="宋体" w:cs="宋体"/>
          <w:sz w:val="21"/>
          <w:szCs w:val="21"/>
        </w:rPr>
        <w:t>标准</w:t>
      </w:r>
      <w:bookmarkEnd w:id="461"/>
    </w:p>
    <w:p>
      <w:pPr>
        <w:pageBreakBefore w:val="0"/>
        <w:widowControl w:val="0"/>
        <w:kinsoku/>
        <w:wordWrap/>
        <w:overflowPunct/>
        <w:topLinePunct w:val="0"/>
        <w:autoSpaceDE w:val="0"/>
        <w:autoSpaceDN w:val="0"/>
        <w:bidi w:val="0"/>
        <w:adjustRightInd w:val="0"/>
        <w:snapToGrid w:val="0"/>
        <w:spacing w:line="500" w:lineRule="exact"/>
        <w:ind w:firstLine="420" w:firstLineChars="200"/>
        <w:jc w:val="left"/>
        <w:textAlignment w:val="auto"/>
        <w:rPr>
          <w:rFonts w:ascii="宋体" w:hAnsi="宋体" w:cs="宋体"/>
          <w:szCs w:val="21"/>
        </w:rPr>
      </w:pPr>
      <w:r>
        <w:rPr>
          <w:rFonts w:hint="eastAsia" w:ascii="宋体" w:hAnsi="宋体" w:cs="宋体"/>
          <w:szCs w:val="21"/>
        </w:rPr>
        <w:t>见评标办法前附表。</w:t>
      </w:r>
    </w:p>
    <w:p>
      <w:pPr>
        <w:pStyle w:val="7"/>
        <w:pageBreakBefore w:val="0"/>
        <w:widowControl w:val="0"/>
        <w:kinsoku/>
        <w:wordWrap/>
        <w:overflowPunct/>
        <w:topLinePunct w:val="0"/>
        <w:bidi w:val="0"/>
        <w:spacing w:before="0" w:after="0" w:line="500" w:lineRule="exact"/>
        <w:jc w:val="left"/>
        <w:textAlignment w:val="auto"/>
        <w:rPr>
          <w:rFonts w:ascii="宋体" w:hAnsi="宋体" w:cs="宋体"/>
          <w:sz w:val="21"/>
          <w:szCs w:val="21"/>
        </w:rPr>
      </w:pPr>
      <w:bookmarkStart w:id="462" w:name="_Toc57820619"/>
      <w:r>
        <w:rPr>
          <w:rFonts w:ascii="宋体" w:hAnsi="宋体" w:cs="宋体"/>
          <w:sz w:val="21"/>
          <w:szCs w:val="21"/>
        </w:rPr>
        <w:t>2.</w:t>
      </w:r>
      <w:r>
        <w:rPr>
          <w:rFonts w:hint="eastAsia" w:ascii="宋体" w:hAnsi="宋体" w:cs="宋体"/>
          <w:sz w:val="21"/>
          <w:szCs w:val="21"/>
        </w:rPr>
        <w:t>2符合性审查标准</w:t>
      </w:r>
      <w:bookmarkEnd w:id="462"/>
    </w:p>
    <w:p>
      <w:pPr>
        <w:pageBreakBefore w:val="0"/>
        <w:widowControl w:val="0"/>
        <w:kinsoku/>
        <w:wordWrap/>
        <w:overflowPunct/>
        <w:topLinePunct w:val="0"/>
        <w:autoSpaceDE w:val="0"/>
        <w:autoSpaceDN w:val="0"/>
        <w:bidi w:val="0"/>
        <w:adjustRightInd w:val="0"/>
        <w:snapToGrid w:val="0"/>
        <w:spacing w:line="500" w:lineRule="exact"/>
        <w:ind w:firstLine="420" w:firstLineChars="200"/>
        <w:jc w:val="left"/>
        <w:textAlignment w:val="auto"/>
        <w:rPr>
          <w:rFonts w:ascii="宋体" w:hAnsi="宋体" w:cs="宋体"/>
          <w:szCs w:val="21"/>
        </w:rPr>
      </w:pPr>
      <w:r>
        <w:rPr>
          <w:rFonts w:hint="eastAsia" w:ascii="宋体" w:hAnsi="宋体" w:cs="宋体"/>
          <w:szCs w:val="21"/>
        </w:rPr>
        <w:t>按评标办法前附表约定的投标单位报价排序数量进行符合性审查</w:t>
      </w:r>
      <w:r>
        <w:rPr>
          <w:rFonts w:hint="eastAsia" w:ascii="宋体" w:hAnsi="宋体"/>
          <w:spacing w:val="4"/>
          <w:kern w:val="0"/>
          <w:szCs w:val="21"/>
        </w:rPr>
        <w:t>。符合性审查内容：技术方案评审（如有）、资格评审、形式评审、响应性、投标函部分及经济部分评审</w:t>
      </w:r>
      <w:r>
        <w:rPr>
          <w:rFonts w:hint="eastAsia" w:ascii="宋体" w:hAnsi="宋体" w:cs="宋体"/>
          <w:szCs w:val="21"/>
        </w:rPr>
        <w:t>。</w:t>
      </w:r>
    </w:p>
    <w:p>
      <w:pPr>
        <w:pageBreakBefore w:val="0"/>
        <w:widowControl w:val="0"/>
        <w:kinsoku/>
        <w:wordWrap/>
        <w:overflowPunct/>
        <w:topLinePunct w:val="0"/>
        <w:autoSpaceDE w:val="0"/>
        <w:autoSpaceDN w:val="0"/>
        <w:bidi w:val="0"/>
        <w:adjustRightInd w:val="0"/>
        <w:snapToGrid w:val="0"/>
        <w:spacing w:line="500" w:lineRule="exact"/>
        <w:ind w:firstLine="420" w:firstLineChars="200"/>
        <w:jc w:val="left"/>
        <w:textAlignment w:val="auto"/>
        <w:rPr>
          <w:rFonts w:ascii="宋体" w:hAnsi="宋体" w:cs="宋体"/>
          <w:szCs w:val="21"/>
        </w:rPr>
      </w:pPr>
      <w:r>
        <w:rPr>
          <w:rFonts w:hint="eastAsia" w:ascii="宋体" w:hAnsi="宋体" w:cs="宋体"/>
          <w:szCs w:val="21"/>
        </w:rPr>
        <w:t>2.2.1  技术方案评审标准：见评标办法前附表。</w:t>
      </w:r>
    </w:p>
    <w:p>
      <w:pPr>
        <w:pageBreakBefore w:val="0"/>
        <w:widowControl w:val="0"/>
        <w:kinsoku/>
        <w:wordWrap/>
        <w:overflowPunct/>
        <w:topLinePunct w:val="0"/>
        <w:autoSpaceDE w:val="0"/>
        <w:autoSpaceDN w:val="0"/>
        <w:bidi w:val="0"/>
        <w:adjustRightInd w:val="0"/>
        <w:snapToGrid w:val="0"/>
        <w:spacing w:line="500" w:lineRule="exact"/>
        <w:ind w:firstLine="420" w:firstLineChars="200"/>
        <w:jc w:val="left"/>
        <w:textAlignment w:val="auto"/>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2A  资格评审标准：见资格预审文件第三章“资格审查办法”详细审查标准（适用于已进行资格预审的）。</w:t>
      </w:r>
    </w:p>
    <w:p>
      <w:pPr>
        <w:pageBreakBefore w:val="0"/>
        <w:widowControl w:val="0"/>
        <w:kinsoku/>
        <w:wordWrap/>
        <w:overflowPunct/>
        <w:topLinePunct w:val="0"/>
        <w:autoSpaceDE w:val="0"/>
        <w:autoSpaceDN w:val="0"/>
        <w:bidi w:val="0"/>
        <w:adjustRightInd w:val="0"/>
        <w:snapToGrid w:val="0"/>
        <w:spacing w:line="500" w:lineRule="exact"/>
        <w:ind w:firstLine="420" w:firstLineChars="200"/>
        <w:jc w:val="left"/>
        <w:textAlignment w:val="auto"/>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2B  资格评审标准：见评标办法前附表（适用于未进行资格预审的）。</w:t>
      </w:r>
    </w:p>
    <w:p>
      <w:pPr>
        <w:pageBreakBefore w:val="0"/>
        <w:widowControl w:val="0"/>
        <w:kinsoku/>
        <w:wordWrap/>
        <w:overflowPunct/>
        <w:topLinePunct w:val="0"/>
        <w:autoSpaceDE w:val="0"/>
        <w:autoSpaceDN w:val="0"/>
        <w:bidi w:val="0"/>
        <w:adjustRightInd w:val="0"/>
        <w:snapToGrid w:val="0"/>
        <w:spacing w:line="500" w:lineRule="exact"/>
        <w:ind w:firstLine="420" w:firstLineChars="200"/>
        <w:jc w:val="left"/>
        <w:textAlignment w:val="auto"/>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3  形式评审标准：见评标办法前附表。</w:t>
      </w:r>
    </w:p>
    <w:p>
      <w:pPr>
        <w:pageBreakBefore w:val="0"/>
        <w:widowControl w:val="0"/>
        <w:kinsoku/>
        <w:wordWrap/>
        <w:overflowPunct/>
        <w:topLinePunct w:val="0"/>
        <w:autoSpaceDE w:val="0"/>
        <w:autoSpaceDN w:val="0"/>
        <w:bidi w:val="0"/>
        <w:adjustRightInd w:val="0"/>
        <w:snapToGrid w:val="0"/>
        <w:spacing w:line="500" w:lineRule="exact"/>
        <w:ind w:firstLine="420" w:firstLineChars="200"/>
        <w:jc w:val="left"/>
        <w:textAlignment w:val="auto"/>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4  响应性评审标准：见评标办法前附表。</w:t>
      </w:r>
    </w:p>
    <w:p>
      <w:pPr>
        <w:pageBreakBefore w:val="0"/>
        <w:widowControl w:val="0"/>
        <w:kinsoku/>
        <w:wordWrap/>
        <w:overflowPunct/>
        <w:topLinePunct w:val="0"/>
        <w:autoSpaceDE w:val="0"/>
        <w:autoSpaceDN w:val="0"/>
        <w:bidi w:val="0"/>
        <w:adjustRightInd w:val="0"/>
        <w:snapToGrid w:val="0"/>
        <w:spacing w:line="500" w:lineRule="exact"/>
        <w:ind w:firstLine="420" w:firstLineChars="200"/>
        <w:jc w:val="left"/>
        <w:textAlignment w:val="auto"/>
        <w:rPr>
          <w:rFonts w:ascii="宋体" w:hAnsi="宋体" w:cs="宋体"/>
          <w:szCs w:val="21"/>
        </w:rPr>
      </w:pPr>
      <w:r>
        <w:rPr>
          <w:rFonts w:hint="eastAsia" w:ascii="宋体" w:hAnsi="宋体" w:cs="宋体"/>
          <w:szCs w:val="21"/>
        </w:rPr>
        <w:t>2.2.5  投标函部分及经济部分评审标准：见评标办法前附表。</w:t>
      </w:r>
    </w:p>
    <w:p>
      <w:pPr>
        <w:pStyle w:val="6"/>
        <w:pageBreakBefore w:val="0"/>
        <w:widowControl w:val="0"/>
        <w:kinsoku/>
        <w:wordWrap/>
        <w:overflowPunct/>
        <w:topLinePunct w:val="0"/>
        <w:bidi w:val="0"/>
        <w:spacing w:before="0" w:after="0" w:line="500" w:lineRule="exact"/>
        <w:jc w:val="left"/>
        <w:textAlignment w:val="auto"/>
        <w:rPr>
          <w:rFonts w:ascii="宋体" w:hAnsi="宋体"/>
          <w:b w:val="0"/>
          <w:snapToGrid w:val="0"/>
        </w:rPr>
      </w:pPr>
      <w:bookmarkStart w:id="463" w:name="_Toc57820620"/>
      <w:r>
        <w:rPr>
          <w:rFonts w:ascii="宋体" w:hAnsi="宋体"/>
          <w:b w:val="0"/>
          <w:snapToGrid w:val="0"/>
        </w:rPr>
        <w:t>3.  评标程序</w:t>
      </w:r>
      <w:bookmarkEnd w:id="463"/>
    </w:p>
    <w:p>
      <w:pPr>
        <w:pStyle w:val="7"/>
        <w:pageBreakBefore w:val="0"/>
        <w:widowControl w:val="0"/>
        <w:kinsoku/>
        <w:wordWrap/>
        <w:overflowPunct/>
        <w:topLinePunct w:val="0"/>
        <w:bidi w:val="0"/>
        <w:spacing w:before="0" w:after="0" w:line="500" w:lineRule="exact"/>
        <w:jc w:val="left"/>
        <w:textAlignment w:val="auto"/>
        <w:rPr>
          <w:rFonts w:ascii="宋体" w:hAnsi="宋体" w:cs="宋体"/>
          <w:sz w:val="21"/>
          <w:szCs w:val="21"/>
        </w:rPr>
      </w:pPr>
      <w:bookmarkStart w:id="464" w:name="_Toc57820621"/>
      <w:r>
        <w:rPr>
          <w:rFonts w:ascii="宋体" w:hAnsi="宋体" w:cs="宋体"/>
          <w:sz w:val="21"/>
          <w:szCs w:val="21"/>
        </w:rPr>
        <w:t>3.1</w:t>
      </w:r>
      <w:r>
        <w:rPr>
          <w:rFonts w:hint="eastAsia" w:ascii="宋体" w:hAnsi="宋体" w:cs="宋体"/>
          <w:sz w:val="21"/>
          <w:szCs w:val="21"/>
        </w:rPr>
        <w:t>报价排序</w:t>
      </w:r>
      <w:bookmarkEnd w:id="464"/>
    </w:p>
    <w:p>
      <w:pPr>
        <w:pStyle w:val="7"/>
        <w:pageBreakBefore w:val="0"/>
        <w:widowControl w:val="0"/>
        <w:kinsoku/>
        <w:wordWrap/>
        <w:overflowPunct/>
        <w:topLinePunct w:val="0"/>
        <w:bidi w:val="0"/>
        <w:spacing w:before="0" w:after="0" w:line="500" w:lineRule="exact"/>
        <w:ind w:firstLine="420" w:firstLineChars="200"/>
        <w:jc w:val="left"/>
        <w:textAlignment w:val="auto"/>
        <w:rPr>
          <w:rFonts w:hint="eastAsia" w:ascii="宋体" w:hAnsi="宋体" w:eastAsia="宋体" w:cs="宋体"/>
          <w:b w:val="0"/>
          <w:bCs w:val="0"/>
          <w:kern w:val="2"/>
          <w:sz w:val="21"/>
          <w:szCs w:val="21"/>
          <w:lang w:val="en-US" w:eastAsia="zh-CN" w:bidi="ar-SA"/>
        </w:rPr>
      </w:pPr>
      <w:bookmarkStart w:id="465" w:name="_Toc57820622"/>
      <w:r>
        <w:rPr>
          <w:rFonts w:hint="eastAsia" w:ascii="宋体" w:hAnsi="宋体" w:eastAsia="宋体" w:cs="宋体"/>
          <w:b w:val="0"/>
          <w:bCs w:val="0"/>
          <w:kern w:val="2"/>
          <w:sz w:val="21"/>
          <w:szCs w:val="21"/>
          <w:lang w:val="en-US" w:eastAsia="zh-CN" w:bidi="ar-SA"/>
        </w:rPr>
        <w:t>对报价不高于最高限价的所有投标人的投标文件，按照报价由低到高的顺序排列。</w:t>
      </w:r>
    </w:p>
    <w:p>
      <w:pPr>
        <w:pStyle w:val="7"/>
        <w:pageBreakBefore w:val="0"/>
        <w:widowControl w:val="0"/>
        <w:kinsoku/>
        <w:wordWrap/>
        <w:overflowPunct/>
        <w:topLinePunct w:val="0"/>
        <w:bidi w:val="0"/>
        <w:spacing w:before="0" w:after="0" w:line="500" w:lineRule="exact"/>
        <w:jc w:val="left"/>
        <w:textAlignment w:val="auto"/>
        <w:rPr>
          <w:rFonts w:ascii="宋体" w:hAnsi="宋体" w:cs="宋体"/>
          <w:sz w:val="21"/>
          <w:szCs w:val="21"/>
        </w:rPr>
      </w:pPr>
      <w:r>
        <w:rPr>
          <w:rFonts w:ascii="宋体" w:hAnsi="宋体" w:cs="宋体"/>
          <w:sz w:val="21"/>
          <w:szCs w:val="21"/>
        </w:rPr>
        <w:t>3.</w:t>
      </w:r>
      <w:r>
        <w:rPr>
          <w:rFonts w:hint="eastAsia" w:ascii="宋体" w:hAnsi="宋体" w:cs="宋体"/>
          <w:sz w:val="21"/>
          <w:szCs w:val="21"/>
        </w:rPr>
        <w:t>2符合性审查</w:t>
      </w:r>
      <w:bookmarkEnd w:id="465"/>
    </w:p>
    <w:p>
      <w:pPr>
        <w:pageBreakBefore w:val="0"/>
        <w:widowControl w:val="0"/>
        <w:kinsoku/>
        <w:wordWrap/>
        <w:overflowPunct/>
        <w:topLinePunct w:val="0"/>
        <w:bidi w:val="0"/>
        <w:spacing w:line="500" w:lineRule="exact"/>
        <w:ind w:firstLine="413" w:firstLineChars="197"/>
        <w:jc w:val="left"/>
        <w:textAlignment w:val="auto"/>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.1评标委员会依据本章第2.</w:t>
      </w:r>
      <w:r>
        <w:rPr>
          <w:rFonts w:hint="eastAsia" w:ascii="宋体" w:hAnsi="宋体" w:cs="宋体"/>
          <w:szCs w:val="21"/>
        </w:rPr>
        <w:t>2</w:t>
      </w:r>
      <w:r>
        <w:rPr>
          <w:rFonts w:ascii="宋体" w:hAnsi="宋体" w:cs="宋体"/>
          <w:szCs w:val="21"/>
        </w:rPr>
        <w:t xml:space="preserve"> </w:t>
      </w:r>
      <w:r>
        <w:rPr>
          <w:rFonts w:hint="eastAsia" w:ascii="宋体" w:hAnsi="宋体" w:cs="宋体"/>
          <w:szCs w:val="21"/>
        </w:rPr>
        <w:t>款规定的标准对投标文件进行符合性审查。符合性审查顺序：技术方案评审（如有）、资格评审、形式评审、响应性、投标函部分及经济部分评审。</w:t>
      </w:r>
    </w:p>
    <w:p>
      <w:pPr>
        <w:pageBreakBefore w:val="0"/>
        <w:widowControl w:val="0"/>
        <w:kinsoku/>
        <w:wordWrap/>
        <w:overflowPunct/>
        <w:topLinePunct w:val="0"/>
        <w:bidi w:val="0"/>
        <w:spacing w:line="500" w:lineRule="exact"/>
        <w:ind w:firstLine="413" w:firstLineChars="197"/>
        <w:jc w:val="left"/>
        <w:textAlignment w:val="auto"/>
        <w:rPr>
          <w:rFonts w:ascii="宋体" w:hAnsi="宋体" w:cs="宋体"/>
          <w:szCs w:val="21"/>
        </w:rPr>
      </w:pPr>
      <w:r>
        <w:rPr>
          <w:rFonts w:hint="eastAsia" w:ascii="宋体" w:hAnsi="宋体" w:cs="宋体"/>
          <w:szCs w:val="21"/>
        </w:rPr>
        <w:t>勾选技术方案评审的，符合性审查应首先进行技术方案审查，再按照资格、形式、响应性、投标函部分及经济部分的顺序进行评审。有一项不符合评审标准的，作否决投标处理。</w:t>
      </w:r>
    </w:p>
    <w:p>
      <w:pPr>
        <w:pageBreakBefore w:val="0"/>
        <w:widowControl w:val="0"/>
        <w:kinsoku/>
        <w:wordWrap/>
        <w:overflowPunct/>
        <w:topLinePunct w:val="0"/>
        <w:bidi w:val="0"/>
        <w:spacing w:line="500" w:lineRule="exact"/>
        <w:ind w:firstLine="420" w:firstLineChars="200"/>
        <w:jc w:val="left"/>
        <w:textAlignment w:val="auto"/>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.2 投标人有以下情形之一的，</w:t>
      </w:r>
      <w:r>
        <w:rPr>
          <w:rFonts w:hint="eastAsia" w:ascii="宋体" w:hAnsi="宋体" w:cs="宋体"/>
          <w:szCs w:val="21"/>
        </w:rPr>
        <w:t>其投标文件将被否决：</w:t>
      </w:r>
    </w:p>
    <w:p>
      <w:pPr>
        <w:pageBreakBefore w:val="0"/>
        <w:widowControl w:val="0"/>
        <w:kinsoku/>
        <w:wordWrap/>
        <w:overflowPunct/>
        <w:topLinePunct w:val="0"/>
        <w:bidi w:val="0"/>
        <w:spacing w:line="500" w:lineRule="exact"/>
        <w:ind w:firstLine="405" w:firstLineChars="193"/>
        <w:jc w:val="left"/>
        <w:textAlignment w:val="auto"/>
        <w:rPr>
          <w:rFonts w:ascii="宋体" w:hAnsi="宋体" w:cs="宋体"/>
          <w:szCs w:val="21"/>
        </w:rPr>
      </w:pPr>
      <w:r>
        <w:rPr>
          <w:rFonts w:hint="eastAsia" w:ascii="宋体" w:hAnsi="宋体" w:cs="宋体"/>
          <w:szCs w:val="21"/>
        </w:rPr>
        <w:t>（1</w:t>
      </w:r>
      <w:r>
        <w:rPr>
          <w:rFonts w:ascii="宋体" w:hAnsi="宋体" w:cs="宋体"/>
          <w:szCs w:val="21"/>
        </w:rPr>
        <w:t xml:space="preserve">）第二章“投标人须知”第1.4.3 </w:t>
      </w:r>
      <w:r>
        <w:rPr>
          <w:rFonts w:hint="eastAsia" w:ascii="宋体" w:hAnsi="宋体" w:cs="宋体"/>
          <w:szCs w:val="21"/>
        </w:rPr>
        <w:t>项</w:t>
      </w:r>
      <w:r>
        <w:rPr>
          <w:rFonts w:ascii="宋体" w:hAnsi="宋体" w:cs="宋体"/>
          <w:szCs w:val="21"/>
        </w:rPr>
        <w:t>规定的任何一种情形的；</w:t>
      </w:r>
    </w:p>
    <w:p>
      <w:pPr>
        <w:pageBreakBefore w:val="0"/>
        <w:widowControl w:val="0"/>
        <w:kinsoku/>
        <w:wordWrap/>
        <w:overflowPunct/>
        <w:topLinePunct w:val="0"/>
        <w:bidi w:val="0"/>
        <w:spacing w:line="500" w:lineRule="exact"/>
        <w:ind w:firstLine="420" w:firstLineChars="200"/>
        <w:jc w:val="left"/>
        <w:textAlignment w:val="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本次投标有串通投标、弄虚作假等其他违反招投标相关法律、法规行为的；</w:t>
      </w:r>
    </w:p>
    <w:p>
      <w:pPr>
        <w:pageBreakBefore w:val="0"/>
        <w:widowControl w:val="0"/>
        <w:kinsoku/>
        <w:wordWrap/>
        <w:overflowPunct/>
        <w:topLinePunct w:val="0"/>
        <w:bidi w:val="0"/>
        <w:spacing w:line="500" w:lineRule="exact"/>
        <w:ind w:firstLine="420" w:firstLineChars="200"/>
        <w:jc w:val="left"/>
        <w:textAlignment w:val="auto"/>
        <w:rPr>
          <w:rFonts w:ascii="宋体" w:hAnsi="宋体" w:cs="宋体"/>
          <w:szCs w:val="21"/>
        </w:rPr>
      </w:pPr>
      <w:r>
        <w:rPr>
          <w:rFonts w:hint="eastAsia" w:ascii="宋体" w:hAnsi="宋体" w:cs="宋体"/>
          <w:szCs w:val="21"/>
        </w:rPr>
        <w:t>（3）拒绝按评标委员会要求澄清、说明或补正的。</w:t>
      </w:r>
    </w:p>
    <w:p>
      <w:pPr>
        <w:pageBreakBefore w:val="0"/>
        <w:widowControl w:val="0"/>
        <w:kinsoku/>
        <w:wordWrap/>
        <w:overflowPunct/>
        <w:topLinePunct w:val="0"/>
        <w:bidi w:val="0"/>
        <w:spacing w:line="500" w:lineRule="exact"/>
        <w:ind w:firstLine="420" w:firstLineChars="200"/>
        <w:jc w:val="left"/>
        <w:textAlignment w:val="auto"/>
        <w:rPr>
          <w:rFonts w:ascii="宋体" w:hAnsi="宋体" w:cs="宋体"/>
          <w:szCs w:val="21"/>
        </w:rPr>
      </w:pPr>
      <w:r>
        <w:rPr>
          <w:rFonts w:hint="eastAsia" w:ascii="宋体" w:hAnsi="宋体" w:cs="宋体"/>
          <w:szCs w:val="21"/>
        </w:rPr>
        <w:t>3.2.3 投标报价有算术错误的，评标委员会按以下原则对投标报价进行修正，修正的价格经投标人书面确认后具有约束力，修正原则如下：</w:t>
      </w:r>
    </w:p>
    <w:p>
      <w:pPr>
        <w:pageBreakBefore w:val="0"/>
        <w:widowControl w:val="0"/>
        <w:kinsoku/>
        <w:wordWrap/>
        <w:overflowPunct/>
        <w:topLinePunct w:val="0"/>
        <w:bidi w:val="0"/>
        <w:spacing w:line="500" w:lineRule="exact"/>
        <w:ind w:firstLine="420" w:firstLineChars="200"/>
        <w:jc w:val="left"/>
        <w:textAlignment w:val="auto"/>
        <w:rPr>
          <w:rFonts w:ascii="宋体" w:hAnsi="宋体" w:cs="宋体"/>
          <w:szCs w:val="21"/>
        </w:rPr>
      </w:pPr>
      <w:r>
        <w:rPr>
          <w:rFonts w:hint="eastAsia" w:ascii="宋体" w:hAnsi="宋体" w:cs="宋体"/>
          <w:szCs w:val="21"/>
        </w:rPr>
        <w:t>（1）投标文件中的大写金额与小写金额不一致的，以大写金额为准；</w:t>
      </w:r>
    </w:p>
    <w:p>
      <w:pPr>
        <w:pageBreakBefore w:val="0"/>
        <w:widowControl w:val="0"/>
        <w:kinsoku/>
        <w:wordWrap/>
        <w:overflowPunct/>
        <w:topLinePunct w:val="0"/>
        <w:bidi w:val="0"/>
        <w:spacing w:line="500" w:lineRule="exact"/>
        <w:ind w:firstLine="420" w:firstLineChars="200"/>
        <w:jc w:val="left"/>
        <w:textAlignment w:val="auto"/>
        <w:rPr>
          <w:rFonts w:ascii="宋体" w:hAnsi="宋体" w:cs="宋体"/>
          <w:szCs w:val="21"/>
        </w:rPr>
      </w:pPr>
      <w:r>
        <w:rPr>
          <w:rFonts w:hint="eastAsia" w:ascii="宋体" w:hAnsi="宋体" w:cs="宋体"/>
          <w:szCs w:val="21"/>
        </w:rPr>
        <w:t>（2）投标函中的总报价与已标价工程量清单总报价不一致，且工程量清单总报价与依据单价、工程数量、分部分项工程合价计算出的结果不一致的，由评标委员会作否决投标处理。</w:t>
      </w:r>
    </w:p>
    <w:p>
      <w:pPr>
        <w:pStyle w:val="7"/>
        <w:pageBreakBefore w:val="0"/>
        <w:widowControl w:val="0"/>
        <w:kinsoku/>
        <w:wordWrap/>
        <w:overflowPunct/>
        <w:topLinePunct w:val="0"/>
        <w:bidi w:val="0"/>
        <w:spacing w:before="0" w:after="0" w:line="500" w:lineRule="exact"/>
        <w:jc w:val="left"/>
        <w:textAlignment w:val="auto"/>
        <w:rPr>
          <w:rFonts w:ascii="宋体" w:hAnsi="宋体" w:cs="宋体"/>
          <w:sz w:val="21"/>
          <w:szCs w:val="21"/>
        </w:rPr>
      </w:pPr>
      <w:bookmarkStart w:id="466" w:name="_Toc57820623"/>
      <w:r>
        <w:rPr>
          <w:rFonts w:ascii="宋体" w:hAnsi="宋体" w:cs="宋体"/>
          <w:sz w:val="21"/>
          <w:szCs w:val="21"/>
        </w:rPr>
        <w:t>3.</w:t>
      </w:r>
      <w:r>
        <w:rPr>
          <w:rFonts w:hint="eastAsia" w:ascii="宋体" w:hAnsi="宋体" w:cs="宋体"/>
          <w:sz w:val="21"/>
          <w:szCs w:val="21"/>
        </w:rPr>
        <w:t>3</w:t>
      </w:r>
      <w:r>
        <w:rPr>
          <w:rFonts w:ascii="宋体" w:hAnsi="宋体" w:cs="宋体"/>
          <w:sz w:val="21"/>
          <w:szCs w:val="21"/>
        </w:rPr>
        <w:t xml:space="preserve"> </w:t>
      </w:r>
      <w:r>
        <w:rPr>
          <w:rFonts w:hint="eastAsia" w:ascii="宋体" w:hAnsi="宋体" w:cs="宋体"/>
          <w:sz w:val="21"/>
          <w:szCs w:val="21"/>
        </w:rPr>
        <w:t>投标文件的澄清和补正</w:t>
      </w:r>
      <w:bookmarkEnd w:id="466"/>
    </w:p>
    <w:p>
      <w:pPr>
        <w:pageBreakBefore w:val="0"/>
        <w:widowControl w:val="0"/>
        <w:kinsoku/>
        <w:wordWrap/>
        <w:overflowPunct/>
        <w:topLinePunct w:val="0"/>
        <w:bidi w:val="0"/>
        <w:spacing w:line="500" w:lineRule="exact"/>
        <w:ind w:firstLine="420" w:firstLineChars="200"/>
        <w:jc w:val="left"/>
        <w:textAlignment w:val="auto"/>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.1 </w:t>
      </w:r>
      <w:r>
        <w:rPr>
          <w:rFonts w:hint="eastAsia" w:ascii="宋体" w:hAnsi="宋体" w:cs="宋体"/>
          <w:szCs w:val="21"/>
        </w:rPr>
        <w:t>在评标过程中，评标委员会可以书面形式要求投标人对所提交投标文件中不明确的内容进行书面澄清或说明，或者对细微偏差进行补正。评标委员会不接受投标人主动提出的澄清、说明或补正。</w:t>
      </w:r>
    </w:p>
    <w:p>
      <w:pPr>
        <w:pageBreakBefore w:val="0"/>
        <w:widowControl w:val="0"/>
        <w:kinsoku/>
        <w:wordWrap/>
        <w:overflowPunct/>
        <w:topLinePunct w:val="0"/>
        <w:bidi w:val="0"/>
        <w:spacing w:line="500" w:lineRule="exact"/>
        <w:ind w:firstLine="420" w:firstLineChars="200"/>
        <w:jc w:val="left"/>
        <w:textAlignment w:val="auto"/>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.2 </w:t>
      </w:r>
      <w:r>
        <w:rPr>
          <w:rFonts w:hint="eastAsia" w:ascii="宋体" w:hAnsi="宋体" w:cs="宋体"/>
          <w:szCs w:val="21"/>
        </w:rPr>
        <w:t>澄清、说明和补正不得改变投标文件的实质性内容（算术性错误修正的除外）。投标人的书面澄清、说明和补正属于投标文件的组成部分。</w:t>
      </w:r>
    </w:p>
    <w:p>
      <w:pPr>
        <w:pageBreakBefore w:val="0"/>
        <w:widowControl w:val="0"/>
        <w:kinsoku/>
        <w:wordWrap/>
        <w:overflowPunct/>
        <w:topLinePunct w:val="0"/>
        <w:bidi w:val="0"/>
        <w:spacing w:line="500" w:lineRule="exact"/>
        <w:ind w:firstLine="420" w:firstLineChars="200"/>
        <w:jc w:val="left"/>
        <w:textAlignment w:val="auto"/>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.3 </w:t>
      </w:r>
      <w:r>
        <w:rPr>
          <w:rFonts w:hint="eastAsia" w:ascii="宋体" w:hAnsi="宋体" w:cs="宋体"/>
          <w:szCs w:val="21"/>
        </w:rPr>
        <w:t>评标委员会对投标人提交的澄清、说明或补正有疑问的，可以要求投标人进一步澄清、说明或补正，直至满足评标委员会的要求。</w:t>
      </w:r>
    </w:p>
    <w:p>
      <w:pPr>
        <w:pStyle w:val="7"/>
        <w:pageBreakBefore w:val="0"/>
        <w:widowControl w:val="0"/>
        <w:kinsoku/>
        <w:wordWrap/>
        <w:overflowPunct/>
        <w:topLinePunct w:val="0"/>
        <w:bidi w:val="0"/>
        <w:spacing w:before="0" w:after="0" w:line="500" w:lineRule="exact"/>
        <w:jc w:val="left"/>
        <w:textAlignment w:val="auto"/>
        <w:rPr>
          <w:rFonts w:ascii="宋体" w:hAnsi="宋体" w:cs="宋体"/>
          <w:sz w:val="21"/>
          <w:szCs w:val="21"/>
        </w:rPr>
      </w:pPr>
      <w:bookmarkStart w:id="467" w:name="_Toc484465184"/>
      <w:bookmarkStart w:id="468" w:name="_Toc57820624"/>
      <w:bookmarkStart w:id="469" w:name="_Toc479262406"/>
      <w:r>
        <w:rPr>
          <w:rFonts w:ascii="宋体" w:hAnsi="宋体" w:cs="宋体"/>
          <w:sz w:val="21"/>
          <w:szCs w:val="21"/>
        </w:rPr>
        <w:t>3.</w:t>
      </w:r>
      <w:r>
        <w:rPr>
          <w:rFonts w:hint="eastAsia" w:ascii="宋体" w:hAnsi="宋体" w:cs="宋体"/>
          <w:sz w:val="21"/>
          <w:szCs w:val="21"/>
        </w:rPr>
        <w:t>4</w:t>
      </w:r>
      <w:r>
        <w:rPr>
          <w:rFonts w:ascii="宋体" w:hAnsi="宋体" w:cs="宋体"/>
          <w:sz w:val="21"/>
          <w:szCs w:val="21"/>
        </w:rPr>
        <w:t xml:space="preserve"> </w:t>
      </w:r>
      <w:r>
        <w:rPr>
          <w:rFonts w:hint="eastAsia" w:ascii="宋体" w:hAnsi="宋体" w:cs="宋体"/>
          <w:sz w:val="21"/>
          <w:szCs w:val="21"/>
        </w:rPr>
        <w:t>评标结果</w:t>
      </w:r>
      <w:bookmarkEnd w:id="467"/>
      <w:bookmarkEnd w:id="468"/>
      <w:bookmarkEnd w:id="469"/>
    </w:p>
    <w:p>
      <w:pPr>
        <w:pageBreakBefore w:val="0"/>
        <w:widowControl w:val="0"/>
        <w:kinsoku/>
        <w:wordWrap/>
        <w:overflowPunct/>
        <w:topLinePunct w:val="0"/>
        <w:autoSpaceDE w:val="0"/>
        <w:autoSpaceDN w:val="0"/>
        <w:bidi w:val="0"/>
        <w:adjustRightInd w:val="0"/>
        <w:spacing w:line="500" w:lineRule="exact"/>
        <w:ind w:firstLine="420" w:firstLineChars="200"/>
        <w:jc w:val="left"/>
        <w:textAlignment w:val="auto"/>
        <w:rPr>
          <w:rFonts w:ascii="宋体" w:hAnsi="宋体" w:cs="宋体"/>
          <w:kern w:val="0"/>
          <w:szCs w:val="21"/>
        </w:rPr>
      </w:pPr>
      <w:r>
        <w:rPr>
          <w:rFonts w:ascii="宋体" w:hAnsi="宋体" w:cs="宋体"/>
          <w:szCs w:val="21"/>
        </w:rPr>
        <w:t>3.</w:t>
      </w:r>
      <w:r>
        <w:rPr>
          <w:rFonts w:hint="eastAsia" w:ascii="宋体" w:hAnsi="宋体" w:cs="宋体"/>
          <w:szCs w:val="21"/>
        </w:rPr>
        <w:t>4</w:t>
      </w:r>
      <w:r>
        <w:rPr>
          <w:rFonts w:ascii="宋体" w:hAnsi="宋体" w:cs="宋体"/>
          <w:szCs w:val="21"/>
        </w:rPr>
        <w:t>.1</w:t>
      </w:r>
      <w:r>
        <w:rPr>
          <w:rFonts w:hint="eastAsia" w:ascii="宋体" w:hAnsi="宋体" w:cs="宋体"/>
          <w:szCs w:val="21"/>
        </w:rPr>
        <w:t xml:space="preserve"> 除第二章“投标人须知”前附表授权直接确定中标人外，评标委员会按经评审的最低投标价法推荐中标候选人。</w:t>
      </w:r>
    </w:p>
    <w:p>
      <w:pPr>
        <w:spacing w:line="360" w:lineRule="auto"/>
        <w:ind w:firstLine="420" w:firstLineChars="200"/>
        <w:jc w:val="left"/>
        <w:rPr>
          <w:rFonts w:hint="eastAsia" w:ascii="宋体" w:hAnsi="宋体" w:cs="宋体"/>
          <w:color w:val="auto"/>
          <w:szCs w:val="21"/>
          <w:highlight w:val="none"/>
        </w:rPr>
      </w:pPr>
      <w:r>
        <w:rPr>
          <w:rFonts w:ascii="宋体" w:hAnsi="宋体" w:cs="宋体"/>
          <w:szCs w:val="21"/>
        </w:rPr>
        <w:t>3.</w:t>
      </w:r>
      <w:r>
        <w:rPr>
          <w:rFonts w:hint="eastAsia" w:ascii="宋体" w:hAnsi="宋体" w:cs="宋体"/>
          <w:szCs w:val="21"/>
        </w:rPr>
        <w:t>4</w:t>
      </w:r>
      <w:r>
        <w:rPr>
          <w:rFonts w:ascii="宋体" w:hAnsi="宋体" w:cs="宋体"/>
          <w:szCs w:val="21"/>
        </w:rPr>
        <w:t>.2</w:t>
      </w:r>
      <w:r>
        <w:rPr>
          <w:rFonts w:hint="eastAsia" w:ascii="宋体" w:hAnsi="宋体" w:cs="宋体"/>
          <w:szCs w:val="21"/>
        </w:rPr>
        <w:t xml:space="preserve"> 评标委员会完成评标后，应当向招标人提交书面评标报告和中标候选人名单。</w:t>
      </w:r>
    </w:p>
    <w:p>
      <w:pPr>
        <w:pStyle w:val="39"/>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b/>
          <w:sz w:val="28"/>
          <w:szCs w:val="28"/>
          <w:u w:val="none"/>
          <w:lang w:eastAsia="zh-CN"/>
        </w:rPr>
      </w:pPr>
      <w:r>
        <w:rPr>
          <w:rFonts w:ascii="宋体" w:hAnsi="宋体" w:cs="宋体"/>
          <w:color w:val="auto"/>
          <w:szCs w:val="21"/>
          <w:highlight w:val="none"/>
          <w:lang w:eastAsia="zh-CN"/>
        </w:rPr>
        <w:br w:type="page"/>
      </w:r>
      <w:r>
        <w:rPr>
          <w:rFonts w:ascii="宋体" w:hAnsi="宋体"/>
          <w:b/>
          <w:sz w:val="28"/>
          <w:szCs w:val="28"/>
          <w:u w:val="none"/>
          <w:lang w:eastAsia="zh-CN"/>
        </w:rPr>
        <w:t>附件A：</w:t>
      </w:r>
      <w:r>
        <w:rPr>
          <w:rFonts w:hint="eastAsia" w:ascii="宋体" w:hAnsi="宋体"/>
          <w:b/>
          <w:sz w:val="28"/>
          <w:szCs w:val="28"/>
          <w:u w:val="none"/>
          <w:lang w:eastAsia="zh-CN"/>
        </w:rPr>
        <w:t>经评审的最低投标价法</w:t>
      </w:r>
      <w:r>
        <w:rPr>
          <w:rFonts w:ascii="宋体" w:hAnsi="宋体"/>
          <w:b/>
          <w:sz w:val="28"/>
          <w:szCs w:val="28"/>
          <w:u w:val="none"/>
          <w:lang w:eastAsia="zh-CN"/>
        </w:rPr>
        <w:t>否决投标情况一览表</w:t>
      </w:r>
    </w:p>
    <w:p>
      <w:pPr>
        <w:pStyle w:val="39"/>
        <w:keepNext w:val="0"/>
        <w:keepLines w:val="0"/>
        <w:pageBreakBefore w:val="0"/>
        <w:kinsoku/>
        <w:wordWrap/>
        <w:overflowPunct/>
        <w:topLinePunct w:val="0"/>
        <w:autoSpaceDE/>
        <w:autoSpaceDN/>
        <w:bidi w:val="0"/>
        <w:adjustRightInd/>
        <w:snapToGrid/>
        <w:spacing w:line="400" w:lineRule="exact"/>
        <w:ind w:firstLine="420" w:firstLineChars="200"/>
        <w:jc w:val="both"/>
        <w:textAlignment w:val="auto"/>
        <w:rPr>
          <w:rFonts w:ascii="宋体" w:hAnsi="宋体"/>
          <w:sz w:val="21"/>
          <w:szCs w:val="21"/>
          <w:u w:val="none"/>
          <w:lang w:eastAsia="zh-CN"/>
        </w:rPr>
      </w:pPr>
      <w:r>
        <w:rPr>
          <w:rFonts w:hint="eastAsia" w:ascii="宋体" w:hAnsi="宋体"/>
          <w:sz w:val="21"/>
          <w:szCs w:val="21"/>
          <w:u w:val="none"/>
          <w:lang w:eastAsia="zh-CN"/>
        </w:rPr>
        <w:t>投标文件存在本一览表下列情形之一的，投标文件视为重大偏差并作否决投标处理，否则，评标委员会不得视为重大偏差而否决投标人的投标文件</w:t>
      </w:r>
      <w:r>
        <w:rPr>
          <w:rFonts w:ascii="宋体" w:hAnsi="宋体"/>
          <w:sz w:val="21"/>
          <w:szCs w:val="21"/>
          <w:u w:val="none"/>
          <w:lang w:eastAsia="zh-CN"/>
        </w:rPr>
        <w:t>。</w:t>
      </w:r>
    </w:p>
    <w:tbl>
      <w:tblPr>
        <w:tblStyle w:val="53"/>
        <w:tblW w:w="9734"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189"/>
        <w:gridCol w:w="1695"/>
        <w:gridCol w:w="68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8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Cs w:val="21"/>
              </w:rPr>
            </w:pPr>
            <w:r>
              <w:rPr>
                <w:rFonts w:ascii="宋体" w:hAnsi="宋体"/>
                <w:b/>
                <w:szCs w:val="21"/>
              </w:rPr>
              <w:t>章节号</w:t>
            </w:r>
          </w:p>
        </w:tc>
        <w:tc>
          <w:tcPr>
            <w:tcW w:w="169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Cs w:val="21"/>
              </w:rPr>
            </w:pPr>
            <w:r>
              <w:rPr>
                <w:rFonts w:ascii="宋体" w:hAnsi="宋体"/>
                <w:b/>
                <w:szCs w:val="21"/>
              </w:rPr>
              <w:t>条款名称</w:t>
            </w:r>
          </w:p>
        </w:tc>
        <w:tc>
          <w:tcPr>
            <w:tcW w:w="68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Cs w:val="21"/>
              </w:rPr>
            </w:pPr>
            <w:r>
              <w:rPr>
                <w:rFonts w:ascii="宋体" w:hAnsi="宋体"/>
                <w:b/>
                <w:szCs w:val="21"/>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189"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r>
              <w:rPr>
                <w:rFonts w:hint="eastAsia" w:ascii="宋体" w:hAnsi="宋体"/>
                <w:szCs w:val="21"/>
              </w:rPr>
              <w:t>第三章</w:t>
            </w:r>
          </w:p>
        </w:tc>
        <w:tc>
          <w:tcPr>
            <w:tcW w:w="1695"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r>
              <w:rPr>
                <w:rFonts w:hint="eastAsia" w:ascii="宋体" w:hAnsi="宋体"/>
                <w:szCs w:val="21"/>
              </w:rPr>
              <w:t>技术方案评审</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r>
              <w:rPr>
                <w:rFonts w:hint="eastAsia" w:ascii="宋体" w:hAnsi="宋体"/>
                <w:szCs w:val="21"/>
              </w:rPr>
              <w:t>（如有）</w:t>
            </w:r>
          </w:p>
        </w:tc>
        <w:tc>
          <w:tcPr>
            <w:tcW w:w="685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A-1投标人的技术方案综合性评审不合格，由评标委员会作否决投标处理。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restart"/>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r>
              <w:rPr>
                <w:rFonts w:hint="eastAsia" w:ascii="宋体" w:hAnsi="宋体"/>
                <w:szCs w:val="21"/>
              </w:rPr>
              <w:t>资格评审</w:t>
            </w:r>
          </w:p>
        </w:tc>
        <w:tc>
          <w:tcPr>
            <w:tcW w:w="685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A-2投标人的资质条件、营业执照及安全生产条件须满足投标人须知前附表第1.4.1项第1条的要求，否则由评标委员会作否决投标处理。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685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A-3投标人的财务须满足投标人须知前附表第1.4.1项第2条的要求，否则由评标委员会作否决投标处理（如有）。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685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A-4投标人的业绩须满足投标人须知前附表第1.4.1项第3条的要求，否则由评标委员会作否决投标处理（如有）。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685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A-5投标人的投标截止日投标资格情况须满足投标人须知前附表第1.4.1项第4条的要求，否则由评标委员会作否决投标处理。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685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A-6投标人的项目经理资格须满足投标人须知前附表第1.4.1项第5条的要求，否则由评标委员会作否决投标处理。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685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A-7投标人的其他要求须满足投标人须知前附表第1.4.1项第6条的要求，否则由评标委员会作否决投标处理。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685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A-8若有联合体投标人，则：</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（1）联合体各方应按照招标文件提供的格式签订联合体协议书，明确联合体牵头人和各方权利义务；</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（2）联合体各方均应当具备承担招标项目的相应能力，联合体协议约定同一专业分工由两个及以上单位共同承担的，按照资质等级较低的单位确定资质等级；</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（3）联合体各方不得再以自己名义单独或参加其他联合体在同一标段中投标。</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r>
              <w:rPr>
                <w:rFonts w:hint="eastAsia" w:ascii="宋体" w:hAnsi="宋体"/>
                <w:szCs w:val="21"/>
              </w:rPr>
              <w:t>形式评审</w:t>
            </w:r>
          </w:p>
        </w:tc>
        <w:tc>
          <w:tcPr>
            <w:tcW w:w="6850" w:type="dxa"/>
            <w:noWrap w:val="0"/>
            <w:vAlign w:val="top"/>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A-9投标人名称必须与营业执照、资质证书、安全生产许可证一致，依法变更名称的应提交相应证明材料，</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6850" w:type="dxa"/>
            <w:noWrap w:val="0"/>
            <w:vAlign w:val="top"/>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A-10投标文件格式（不含投标函部分）符合第二章“投标人须知”第3.7款的要求，否则由评标委员会作否决投标处理。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kern w:val="0"/>
                <w:szCs w:val="21"/>
              </w:rPr>
              <w:t>编制投标文件时不得对第八章“投标文件格式”的相应要素作实质性修改，否则</w:t>
            </w:r>
            <w:r>
              <w:rPr>
                <w:rFonts w:hint="eastAsia" w:ascii="宋体" w:hAnsi="宋体"/>
                <w:szCs w:val="21"/>
              </w:rPr>
              <w:t>视为重大偏差，</w:t>
            </w:r>
            <w:r>
              <w:rPr>
                <w:rFonts w:hint="eastAsia" w:ascii="宋体" w:hAnsi="宋体"/>
                <w:kern w:val="0"/>
                <w:szCs w:val="21"/>
              </w:rPr>
              <w:t>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6850" w:type="dxa"/>
            <w:noWrap w:val="0"/>
            <w:vAlign w:val="top"/>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-11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6850" w:type="dxa"/>
            <w:noWrap w:val="0"/>
            <w:vAlign w:val="top"/>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A-12第八章 投标文件格式（不含投标函部分）要求法定代表人或其委托代理人签名（或盖章）的须齐全，否则由评标委员会作否决投标处理。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若投标单位为联合体，则联合体协议书中各联合体成员单位签名（或盖章）须齐全，联合体协议书以外的投标文件格式中，要求法定代表人或其委托代理人签名（或盖章）的均由联合体牵头人法定代表人或其委托代理人签名（或盖章），否则由评标委员会作否决投标处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第八章 投标文件格式（不含投标函部分）要求加盖单位法人章的</w:t>
            </w:r>
            <w:r>
              <w:rPr>
                <w:rFonts w:hint="eastAsia" w:ascii="宋体" w:hAnsi="宋体" w:cs="宋体"/>
                <w:kern w:val="0"/>
              </w:rPr>
              <w:t>须齐全</w:t>
            </w:r>
            <w:r>
              <w:rPr>
                <w:rFonts w:hint="eastAsia" w:ascii="宋体" w:hAnsi="宋体"/>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6850" w:type="dxa"/>
            <w:noWrap w:val="0"/>
            <w:vAlign w:val="top"/>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A-13投标人法定代表人的委托代理人有法定代表人签署的授权委托书和投标人为其缴纳的养老保险证明材料。否则由评标委员会作否决投标处理。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r>
              <w:rPr>
                <w:rFonts w:hint="eastAsia" w:ascii="宋体" w:hAnsi="宋体"/>
                <w:szCs w:val="21"/>
              </w:rPr>
              <w:t>响应性评审</w:t>
            </w:r>
          </w:p>
        </w:tc>
        <w:tc>
          <w:tcPr>
            <w:tcW w:w="685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A-14投标内容符合第二章“投标人须知”第1.3.1项规定，否则由评标委员会作否决投标处理。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685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A-15投标人应按投标人须知前附表第3.4款规定递交投标保证金，并作为其投标文件的组成部分，否则由评标委员会作否决投标处理。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685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A-16符合第四章“合同条款及格式”规定，投标文件不应附有招标人不能接受的条件。否则由评标委员会作否决投标处理。（由投标人承诺，承诺书格式详见第八章投标文件格式。）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685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A-17符合第七章“技术标准和要求”规定。否则由评标委员会作否决投标处理（如有）。（由投标人承诺，承诺书格式详见第八章投标文件格式。）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685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A-18投标人有以下情形之一的，其投标文件由评标委员会</w:t>
            </w:r>
            <w:r>
              <w:rPr>
                <w:rFonts w:ascii="宋体" w:hAnsi="宋体"/>
                <w:szCs w:val="21"/>
              </w:rPr>
              <w:t>作否决投标处理</w:t>
            </w:r>
            <w:r>
              <w:rPr>
                <w:rFonts w:hint="eastAsia" w:ascii="宋体" w:hAnsi="宋体"/>
                <w:szCs w:val="21"/>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1.第二章“投标人须知”第1.4.3项规定的任何一种情形的；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2.本次投标有串通投标、弄虚作假等违反招投标相关法律、法规的行为的；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r>
              <w:rPr>
                <w:rFonts w:ascii="宋体" w:hAnsi="宋体"/>
                <w:szCs w:val="21"/>
              </w:rPr>
              <w:t>投标函部分及经济部分评审</w:t>
            </w:r>
          </w:p>
        </w:tc>
        <w:tc>
          <w:tcPr>
            <w:tcW w:w="685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A-19</w:t>
            </w:r>
            <w:r>
              <w:rPr>
                <w:rFonts w:hint="eastAsia" w:ascii="宋体" w:hAnsi="宋体" w:cs="宋体"/>
                <w:kern w:val="0"/>
              </w:rPr>
              <w:t>投标函部分的格式要求法定代表人或其委托代理人签名（或盖章）的须齐全，要求加盖单位法人章的须齐全</w:t>
            </w:r>
            <w:r>
              <w:rPr>
                <w:rFonts w:hint="eastAsia" w:ascii="宋体" w:hAnsi="宋体"/>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685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A-20工期符合第二章“投标人须知”第1.3.2项规定，否则由评标委员会作否决投标处理。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685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A-21工程质量符合第二章“投标人须知”第1.3.3项规定，否则由评标委员会作否决投标处理。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685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A-22投标有效期符合第二章“投标人须知”第3.3.1项规定，否则由评标委员会作否决投标处理。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685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A-23投标函中的总报价必须与已标价工程量清单总报价一致</w:t>
            </w:r>
            <w:r>
              <w:rPr>
                <w:rFonts w:hint="eastAsia" w:ascii="宋体" w:hAnsi="宋体"/>
                <w:szCs w:val="21"/>
                <w:lang w:eastAsia="zh-CN"/>
              </w:rPr>
              <w:t>，</w:t>
            </w:r>
            <w:r>
              <w:rPr>
                <w:rFonts w:hint="eastAsia" w:ascii="宋体" w:hAnsi="宋体"/>
                <w:szCs w:val="21"/>
              </w:rPr>
              <w:t>且工程量清单总报价与依据单价、工程数量、分部分项工程合价计算出的结果应一致，否则由评标委员会作否决投标处理。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685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A-24 投标函中的总报价不得高于招标人公布的投标总报价最高限价，否则由评标委员会作否决投标处理。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685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A-25投标总报价低于最高限价85%的，投标人应在编制投标文件时，在投标函部分中递交低价风险担保提交承诺书。承诺书格式详见第八章投标文件格式</w:t>
            </w:r>
            <w:r>
              <w:rPr>
                <w:rFonts w:hint="eastAsia" w:ascii="宋体" w:hAnsi="宋体"/>
                <w:szCs w:val="21"/>
                <w:lang w:eastAsia="zh-CN"/>
              </w:rPr>
              <w:t>，</w:t>
            </w:r>
            <w:r>
              <w:rPr>
                <w:rFonts w:hint="eastAsia" w:ascii="宋体" w:hAnsi="宋体"/>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685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A-26投标函中的安全文明施工费必须按照招标人给出的暂定金额填报，否则视为对招标文件不作实质性响应，其投标文件由评标委员会作否决投标处理。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685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A-27只能有一个有效报价。在招标文件没有规定的情况下，不得提交选择性报价，否则由评标委员会作否决投标处理。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685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A-28投标人必须按招标工程量清单填报价格。项目编码、项目名称、项目特征、计量单位、工程量必须与招标工程量清单一致。否则交由评标委员会作否决投标处理。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685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A-29招标人在工程量清单中所列出的价格（包括暂列金额、暂估价等），投标人不得修改，否则由评标委员会作否决投标处理。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685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A-30投标人的每项清单综合单价报价不得超过每项清单综合单价最高限价，否则由评标委员会作否决投标处理。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685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A-31投标报价有算术错误的，按照第三章“评标办法”第3.2.3项规定执行，否则由评标委员会作否决投标处理。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118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r>
              <w:rPr>
                <w:rFonts w:ascii="宋体" w:hAnsi="宋体"/>
                <w:szCs w:val="21"/>
              </w:rPr>
              <w:t>其他</w:t>
            </w:r>
          </w:p>
        </w:tc>
        <w:tc>
          <w:tcPr>
            <w:tcW w:w="169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685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i/>
                <w:szCs w:val="21"/>
                <w:lang w:eastAsia="zh-CN"/>
              </w:rPr>
            </w:pPr>
            <w:r>
              <w:rPr>
                <w:rFonts w:hint="eastAsia" w:ascii="宋体" w:hAnsi="宋体"/>
                <w:szCs w:val="21"/>
                <w:lang w:val="en-US" w:eastAsia="zh-CN"/>
              </w:rPr>
              <w:t>无。</w:t>
            </w:r>
          </w:p>
        </w:tc>
      </w:tr>
    </w:tbl>
    <w:p>
      <w:pPr>
        <w:pStyle w:val="5"/>
        <w:jc w:val="center"/>
        <w:rPr>
          <w:rFonts w:hint="eastAsia"/>
          <w:color w:val="auto"/>
          <w:kern w:val="0"/>
          <w:sz w:val="36"/>
          <w:szCs w:val="36"/>
        </w:rPr>
      </w:pPr>
      <w:r>
        <w:rPr>
          <w:rFonts w:hint="eastAsia"/>
          <w:color w:val="auto"/>
          <w:kern w:val="0"/>
          <w:sz w:val="36"/>
          <w:szCs w:val="36"/>
        </w:rPr>
        <w:br w:type="page"/>
      </w:r>
      <w:r>
        <w:rPr>
          <w:rFonts w:hint="eastAsia"/>
          <w:color w:val="auto"/>
          <w:kern w:val="0"/>
          <w:sz w:val="36"/>
          <w:szCs w:val="36"/>
        </w:rPr>
        <w:t>第四章 合同条款及格式</w:t>
      </w:r>
      <w:bookmarkEnd w:id="454"/>
      <w:bookmarkEnd w:id="455"/>
      <w:bookmarkStart w:id="470" w:name="_Toc361990387"/>
      <w:bookmarkStart w:id="471" w:name="_Toc13214"/>
    </w:p>
    <w:p>
      <w:pPr>
        <w:spacing w:line="360" w:lineRule="auto"/>
        <w:ind w:firstLine="551" w:firstLineChars="196"/>
        <w:rPr>
          <w:rFonts w:hint="eastAsia" w:ascii="宋体" w:hAnsi="宋体"/>
          <w:b/>
          <w:color w:val="auto"/>
          <w:sz w:val="28"/>
          <w:szCs w:val="28"/>
        </w:rPr>
      </w:pPr>
      <w:r>
        <w:rPr>
          <w:rFonts w:hint="eastAsia" w:ascii="宋体" w:hAnsi="宋体"/>
          <w:b/>
          <w:color w:val="auto"/>
          <w:sz w:val="28"/>
          <w:szCs w:val="28"/>
        </w:rPr>
        <w:t>采用中华人民共和国《标准施工招标文件（2007年版）》（中国计划出版社）第四章第一节的《通用合同条款》。</w:t>
      </w:r>
    </w:p>
    <w:p>
      <w:pPr>
        <w:spacing w:line="360" w:lineRule="auto"/>
        <w:ind w:firstLine="551" w:firstLineChars="196"/>
        <w:rPr>
          <w:rFonts w:hint="eastAsia"/>
          <w:b/>
          <w:color w:val="auto"/>
        </w:rPr>
      </w:pPr>
      <w:r>
        <w:rPr>
          <w:rFonts w:hint="eastAsia" w:ascii="宋体" w:hAnsi="宋体"/>
          <w:b/>
          <w:color w:val="auto"/>
          <w:sz w:val="28"/>
          <w:szCs w:val="28"/>
        </w:rPr>
        <w:t>专用合同条款是对通用合同条款的补充和细化，投标人在投标前应阅读专用合同条款与通用合同条款，以便全面熟悉该工程的全部情况。</w:t>
      </w:r>
    </w:p>
    <w:p>
      <w:pPr>
        <w:jc w:val="center"/>
        <w:rPr>
          <w:rFonts w:hint="eastAsia" w:ascii="宋体" w:hAnsi="宋体"/>
          <w:b/>
          <w:color w:val="auto"/>
          <w:sz w:val="28"/>
          <w:szCs w:val="28"/>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jc w:val="both"/>
        <w:rPr>
          <w:rFonts w:hint="eastAsia"/>
          <w:b/>
          <w:color w:val="auto"/>
          <w:sz w:val="32"/>
          <w:szCs w:val="32"/>
          <w:u w:val="single"/>
        </w:rPr>
      </w:pPr>
      <w:r>
        <w:rPr>
          <w:rFonts w:hint="eastAsia"/>
          <w:b/>
          <w:color w:val="auto"/>
          <w:sz w:val="32"/>
          <w:szCs w:val="32"/>
          <w:u w:val="single"/>
        </w:rPr>
        <w:br w:type="page"/>
      </w:r>
    </w:p>
    <w:p>
      <w:pPr>
        <w:pStyle w:val="3"/>
        <w:rPr>
          <w:rFonts w:hint="eastAsia"/>
        </w:rPr>
      </w:pPr>
    </w:p>
    <w:p>
      <w:pPr>
        <w:jc w:val="center"/>
        <w:rPr>
          <w:rFonts w:hint="eastAsia" w:ascii="宋体" w:hAnsi="宋体" w:eastAsia="宋体"/>
          <w:b/>
          <w:bCs/>
          <w:color w:val="auto"/>
          <w:sz w:val="52"/>
          <w:szCs w:val="52"/>
          <w:lang w:eastAsia="zh-CN"/>
        </w:rPr>
      </w:pPr>
      <w:r>
        <w:rPr>
          <w:rFonts w:hint="eastAsia" w:ascii="宋体" w:hAnsi="宋体" w:cs="仿宋"/>
          <w:b/>
          <w:snapToGrid w:val="0"/>
          <w:color w:val="auto"/>
          <w:kern w:val="0"/>
          <w:sz w:val="52"/>
          <w:szCs w:val="52"/>
          <w:lang w:eastAsia="zh-CN"/>
        </w:rPr>
        <w:t>安居古城书香文化街（配套部分）项目</w:t>
      </w:r>
    </w:p>
    <w:p>
      <w:pPr>
        <w:spacing w:line="800" w:lineRule="exact"/>
        <w:jc w:val="center"/>
        <w:rPr>
          <w:rFonts w:ascii="宋体" w:hAnsi="宋体"/>
          <w:b/>
          <w:bCs/>
          <w:color w:val="auto"/>
          <w:sz w:val="52"/>
          <w:szCs w:val="52"/>
        </w:rPr>
      </w:pPr>
    </w:p>
    <w:p>
      <w:pPr>
        <w:spacing w:line="800" w:lineRule="exact"/>
        <w:jc w:val="center"/>
        <w:rPr>
          <w:rFonts w:ascii="宋体" w:hAnsi="宋体"/>
          <w:b/>
          <w:bCs/>
          <w:color w:val="auto"/>
          <w:sz w:val="52"/>
          <w:szCs w:val="52"/>
        </w:rPr>
      </w:pPr>
    </w:p>
    <w:p>
      <w:pPr>
        <w:spacing w:line="1440" w:lineRule="exact"/>
        <w:jc w:val="center"/>
        <w:rPr>
          <w:rFonts w:ascii="宋体" w:hAnsi="宋体"/>
          <w:b/>
          <w:bCs/>
          <w:color w:val="auto"/>
          <w:sz w:val="72"/>
          <w:szCs w:val="72"/>
        </w:rPr>
      </w:pPr>
      <w:r>
        <w:rPr>
          <w:rFonts w:hint="eastAsia" w:ascii="宋体" w:hAnsi="宋体"/>
          <w:b/>
          <w:bCs/>
          <w:color w:val="auto"/>
          <w:sz w:val="72"/>
          <w:szCs w:val="72"/>
        </w:rPr>
        <w:t>施</w:t>
      </w:r>
    </w:p>
    <w:p>
      <w:pPr>
        <w:spacing w:line="1440" w:lineRule="exact"/>
        <w:jc w:val="center"/>
        <w:rPr>
          <w:rFonts w:ascii="宋体" w:hAnsi="宋体"/>
          <w:b/>
          <w:bCs/>
          <w:color w:val="auto"/>
          <w:sz w:val="72"/>
          <w:szCs w:val="72"/>
        </w:rPr>
      </w:pPr>
      <w:r>
        <w:rPr>
          <w:rFonts w:hint="eastAsia" w:ascii="宋体" w:hAnsi="宋体"/>
          <w:b/>
          <w:bCs/>
          <w:color w:val="auto"/>
          <w:sz w:val="72"/>
          <w:szCs w:val="72"/>
        </w:rPr>
        <w:t>工</w:t>
      </w:r>
    </w:p>
    <w:p>
      <w:pPr>
        <w:spacing w:line="1440" w:lineRule="exact"/>
        <w:jc w:val="center"/>
        <w:rPr>
          <w:rFonts w:ascii="宋体" w:hAnsi="宋体"/>
          <w:b/>
          <w:bCs/>
          <w:color w:val="auto"/>
          <w:sz w:val="72"/>
          <w:szCs w:val="72"/>
        </w:rPr>
      </w:pPr>
      <w:r>
        <w:rPr>
          <w:rFonts w:hint="eastAsia" w:ascii="宋体" w:hAnsi="宋体"/>
          <w:b/>
          <w:bCs/>
          <w:color w:val="auto"/>
          <w:sz w:val="72"/>
          <w:szCs w:val="72"/>
        </w:rPr>
        <w:t>合</w:t>
      </w:r>
    </w:p>
    <w:p>
      <w:pPr>
        <w:spacing w:line="1440" w:lineRule="exact"/>
        <w:jc w:val="center"/>
        <w:rPr>
          <w:rFonts w:ascii="宋体" w:hAnsi="宋体"/>
          <w:b/>
          <w:bCs/>
          <w:color w:val="auto"/>
          <w:sz w:val="72"/>
          <w:szCs w:val="72"/>
        </w:rPr>
      </w:pPr>
      <w:r>
        <w:rPr>
          <w:rFonts w:hint="eastAsia" w:ascii="宋体" w:hAnsi="宋体"/>
          <w:b/>
          <w:bCs/>
          <w:color w:val="auto"/>
          <w:sz w:val="72"/>
          <w:szCs w:val="72"/>
        </w:rPr>
        <w:t>同</w:t>
      </w:r>
    </w:p>
    <w:p>
      <w:pPr>
        <w:spacing w:after="120" w:afterLines="50" w:line="800" w:lineRule="exact"/>
        <w:jc w:val="center"/>
        <w:rPr>
          <w:rFonts w:ascii="宋体" w:hAnsi="宋体"/>
          <w:b/>
          <w:bCs/>
          <w:color w:val="auto"/>
          <w:sz w:val="52"/>
          <w:szCs w:val="52"/>
        </w:rPr>
      </w:pPr>
    </w:p>
    <w:p>
      <w:pPr>
        <w:spacing w:after="120" w:afterLines="50" w:line="700" w:lineRule="exact"/>
        <w:jc w:val="both"/>
        <w:rPr>
          <w:rFonts w:ascii="宋体" w:hAnsi="宋体"/>
          <w:b/>
          <w:bCs/>
          <w:color w:val="auto"/>
          <w:sz w:val="52"/>
          <w:szCs w:val="52"/>
        </w:rPr>
      </w:pPr>
    </w:p>
    <w:p>
      <w:pPr>
        <w:spacing w:after="120" w:afterLines="50" w:line="700" w:lineRule="exact"/>
        <w:jc w:val="center"/>
        <w:rPr>
          <w:rFonts w:ascii="宋体" w:hAnsi="宋体"/>
          <w:b/>
          <w:bCs/>
          <w:color w:val="auto"/>
          <w:sz w:val="52"/>
          <w:szCs w:val="52"/>
        </w:rPr>
      </w:pPr>
    </w:p>
    <w:p>
      <w:pPr>
        <w:spacing w:line="500" w:lineRule="exact"/>
        <w:ind w:firstLine="562" w:firstLineChars="200"/>
        <w:rPr>
          <w:rFonts w:ascii="宋体" w:hAnsi="宋体" w:cs="宋体"/>
          <w:b/>
          <w:bCs/>
          <w:color w:val="auto"/>
          <w:sz w:val="28"/>
          <w:szCs w:val="28"/>
        </w:rPr>
      </w:pPr>
      <w:r>
        <w:rPr>
          <w:rFonts w:hint="eastAsia" w:ascii="宋体" w:hAnsi="宋体"/>
          <w:b/>
          <w:bCs/>
          <w:color w:val="auto"/>
          <w:sz w:val="28"/>
          <w:szCs w:val="28"/>
        </w:rPr>
        <w:t>工程名称：</w:t>
      </w:r>
      <w:r>
        <w:rPr>
          <w:rFonts w:hint="eastAsia" w:ascii="宋体" w:hAnsi="宋体"/>
          <w:b/>
          <w:color w:val="auto"/>
          <w:sz w:val="28"/>
          <w:szCs w:val="28"/>
          <w:u w:val="single"/>
          <w:lang w:eastAsia="zh-CN"/>
        </w:rPr>
        <w:t>安居古城书香文化街（配套部分）项目</w:t>
      </w:r>
    </w:p>
    <w:p>
      <w:pPr>
        <w:spacing w:line="500" w:lineRule="exact"/>
        <w:ind w:firstLine="562" w:firstLineChars="200"/>
        <w:rPr>
          <w:rFonts w:ascii="宋体" w:hAnsi="宋体"/>
          <w:b/>
          <w:color w:val="auto"/>
          <w:sz w:val="28"/>
          <w:szCs w:val="28"/>
        </w:rPr>
      </w:pPr>
      <w:r>
        <w:rPr>
          <w:rFonts w:hint="eastAsia" w:ascii="宋体" w:hAnsi="宋体"/>
          <w:b/>
          <w:bCs/>
          <w:color w:val="auto"/>
          <w:sz w:val="28"/>
          <w:szCs w:val="28"/>
        </w:rPr>
        <w:t>发 包 人：</w:t>
      </w:r>
      <w:r>
        <w:rPr>
          <w:rFonts w:hint="eastAsia" w:ascii="宋体" w:hAnsi="宋体"/>
          <w:b/>
          <w:color w:val="auto"/>
          <w:sz w:val="28"/>
          <w:szCs w:val="28"/>
          <w:u w:val="single"/>
        </w:rPr>
        <w:t xml:space="preserve">                               </w:t>
      </w:r>
      <w:r>
        <w:rPr>
          <w:rFonts w:hint="eastAsia" w:ascii="宋体" w:hAnsi="宋体"/>
          <w:b/>
          <w:color w:val="auto"/>
          <w:sz w:val="28"/>
          <w:szCs w:val="28"/>
        </w:rPr>
        <w:t>.</w:t>
      </w:r>
    </w:p>
    <w:p>
      <w:pPr>
        <w:spacing w:line="500" w:lineRule="exact"/>
        <w:ind w:firstLine="562" w:firstLineChars="200"/>
        <w:rPr>
          <w:rFonts w:ascii="宋体" w:hAnsi="宋体"/>
          <w:b/>
          <w:bCs/>
          <w:color w:val="auto"/>
          <w:sz w:val="28"/>
          <w:szCs w:val="28"/>
        </w:rPr>
      </w:pPr>
      <w:r>
        <w:rPr>
          <w:rFonts w:hint="eastAsia" w:ascii="宋体" w:hAnsi="宋体"/>
          <w:b/>
          <w:bCs/>
          <w:color w:val="auto"/>
          <w:sz w:val="28"/>
          <w:szCs w:val="28"/>
        </w:rPr>
        <w:t>承 包 人：</w:t>
      </w:r>
      <w:r>
        <w:rPr>
          <w:rFonts w:hint="eastAsia" w:ascii="宋体" w:hAnsi="宋体"/>
          <w:b/>
          <w:bCs/>
          <w:color w:val="auto"/>
          <w:sz w:val="28"/>
          <w:szCs w:val="28"/>
          <w:u w:val="single"/>
        </w:rPr>
        <w:t xml:space="preserve">                               </w:t>
      </w:r>
      <w:r>
        <w:rPr>
          <w:rFonts w:hint="eastAsia" w:ascii="宋体" w:hAnsi="宋体"/>
          <w:b/>
          <w:bCs/>
          <w:color w:val="auto"/>
          <w:sz w:val="28"/>
          <w:szCs w:val="28"/>
        </w:rPr>
        <w:t>.</w:t>
      </w:r>
    </w:p>
    <w:p>
      <w:pPr>
        <w:spacing w:line="500" w:lineRule="exact"/>
        <w:ind w:firstLine="562" w:firstLineChars="200"/>
        <w:rPr>
          <w:rFonts w:ascii="宋体" w:hAnsi="宋体"/>
          <w:bCs/>
          <w:color w:val="auto"/>
          <w:sz w:val="32"/>
          <w:szCs w:val="32"/>
          <w:u w:val="single"/>
        </w:rPr>
      </w:pPr>
      <w:r>
        <w:rPr>
          <w:rFonts w:hint="eastAsia" w:ascii="宋体" w:hAnsi="宋体"/>
          <w:b/>
          <w:bCs/>
          <w:color w:val="auto"/>
          <w:sz w:val="28"/>
          <w:szCs w:val="28"/>
        </w:rPr>
        <w:t>签订日期：</w:t>
      </w:r>
      <w:r>
        <w:rPr>
          <w:rFonts w:hint="eastAsia" w:ascii="宋体" w:hAnsi="宋体"/>
          <w:b/>
          <w:bCs/>
          <w:color w:val="auto"/>
          <w:sz w:val="28"/>
          <w:szCs w:val="28"/>
          <w:u w:val="single"/>
        </w:rPr>
        <w:t xml:space="preserve">        </w:t>
      </w:r>
      <w:r>
        <w:rPr>
          <w:rFonts w:hint="eastAsia" w:ascii="宋体" w:hAnsi="宋体"/>
          <w:b/>
          <w:bCs/>
          <w:color w:val="auto"/>
          <w:sz w:val="28"/>
          <w:szCs w:val="28"/>
        </w:rPr>
        <w:t>年</w:t>
      </w:r>
      <w:r>
        <w:rPr>
          <w:rFonts w:hint="eastAsia" w:ascii="宋体" w:hAnsi="宋体"/>
          <w:b/>
          <w:bCs/>
          <w:color w:val="auto"/>
          <w:sz w:val="28"/>
          <w:szCs w:val="28"/>
          <w:u w:val="single"/>
        </w:rPr>
        <w:t xml:space="preserve">     </w:t>
      </w:r>
      <w:r>
        <w:rPr>
          <w:rFonts w:hint="eastAsia" w:ascii="宋体" w:hAnsi="宋体"/>
          <w:b/>
          <w:bCs/>
          <w:color w:val="auto"/>
          <w:sz w:val="28"/>
          <w:szCs w:val="28"/>
        </w:rPr>
        <w:t>月</w:t>
      </w:r>
      <w:r>
        <w:rPr>
          <w:rFonts w:hint="eastAsia" w:ascii="宋体" w:hAnsi="宋体"/>
          <w:b/>
          <w:bCs/>
          <w:color w:val="auto"/>
          <w:sz w:val="28"/>
          <w:szCs w:val="28"/>
          <w:u w:val="single"/>
        </w:rPr>
        <w:t xml:space="preserve">     </w:t>
      </w:r>
      <w:r>
        <w:rPr>
          <w:rFonts w:hint="eastAsia" w:ascii="宋体" w:hAnsi="宋体"/>
          <w:b/>
          <w:bCs/>
          <w:color w:val="auto"/>
          <w:sz w:val="28"/>
          <w:szCs w:val="28"/>
        </w:rPr>
        <w:t>日</w:t>
      </w:r>
    </w:p>
    <w:p>
      <w:pPr>
        <w:jc w:val="center"/>
        <w:rPr>
          <w:rFonts w:hint="eastAsia" w:ascii="宋体" w:hAnsi="宋体"/>
          <w:b/>
          <w:color w:val="auto"/>
          <w:sz w:val="32"/>
          <w:u w:val="single"/>
        </w:rPr>
      </w:pPr>
    </w:p>
    <w:p>
      <w:pPr>
        <w:jc w:val="both"/>
        <w:rPr>
          <w:rFonts w:hint="eastAsia" w:ascii="宋体" w:hAnsi="宋体"/>
          <w:b/>
          <w:color w:val="auto"/>
          <w:sz w:val="32"/>
          <w:u w:val="single"/>
        </w:rPr>
      </w:pPr>
    </w:p>
    <w:p>
      <w:pPr>
        <w:jc w:val="both"/>
        <w:rPr>
          <w:rFonts w:hint="eastAsia" w:ascii="宋体" w:hAnsi="宋体"/>
          <w:b/>
          <w:color w:val="auto"/>
          <w:sz w:val="32"/>
          <w:u w:val="single"/>
        </w:rPr>
      </w:pPr>
    </w:p>
    <w:p>
      <w:pPr>
        <w:keepNext w:val="0"/>
        <w:keepLines w:val="0"/>
        <w:pageBreakBefore w:val="0"/>
        <w:widowControl w:val="0"/>
        <w:kinsoku/>
        <w:wordWrap/>
        <w:overflowPunct/>
        <w:topLinePunct w:val="0"/>
        <w:autoSpaceDE/>
        <w:autoSpaceDN/>
        <w:bidi w:val="0"/>
        <w:spacing w:line="400" w:lineRule="exact"/>
        <w:jc w:val="center"/>
        <w:textAlignment w:val="auto"/>
        <w:outlineLvl w:val="9"/>
        <w:rPr>
          <w:b/>
          <w:color w:val="auto"/>
          <w:sz w:val="32"/>
          <w:szCs w:val="32"/>
        </w:rPr>
      </w:pPr>
      <w:r>
        <w:rPr>
          <w:rFonts w:hint="eastAsia"/>
          <w:b/>
          <w:color w:val="auto"/>
          <w:sz w:val="32"/>
          <w:szCs w:val="32"/>
        </w:rPr>
        <w:t>第一节  合同协议书</w:t>
      </w:r>
    </w:p>
    <w:p>
      <w:pPr>
        <w:keepNext w:val="0"/>
        <w:keepLines w:val="0"/>
        <w:pageBreakBefore w:val="0"/>
        <w:widowControl w:val="0"/>
        <w:kinsoku/>
        <w:wordWrap/>
        <w:overflowPunct/>
        <w:topLinePunct w:val="0"/>
        <w:autoSpaceDE/>
        <w:autoSpaceDN/>
        <w:bidi w:val="0"/>
        <w:spacing w:line="400" w:lineRule="exact"/>
        <w:textAlignment w:val="auto"/>
        <w:outlineLvl w:val="9"/>
        <w:rPr>
          <w:rFonts w:hint="eastAsia" w:eastAsia="宋体"/>
          <w:color w:val="auto"/>
          <w:lang w:eastAsia="zh-CN"/>
        </w:rPr>
      </w:pPr>
      <w:r>
        <w:rPr>
          <w:color w:val="auto"/>
        </w:rPr>
        <w:t>发包人</w:t>
      </w:r>
      <w:r>
        <w:rPr>
          <w:rFonts w:hint="eastAsia"/>
          <w:color w:val="auto"/>
          <w:lang w:eastAsia="zh-CN"/>
        </w:rPr>
        <w:t>（</w:t>
      </w:r>
      <w:r>
        <w:rPr>
          <w:color w:val="auto"/>
        </w:rPr>
        <w:t>全称</w:t>
      </w:r>
      <w:r>
        <w:rPr>
          <w:rFonts w:hint="eastAsia"/>
          <w:color w:val="auto"/>
          <w:lang w:eastAsia="zh-CN"/>
        </w:rPr>
        <w:t>）</w:t>
      </w:r>
      <w:r>
        <w:rPr>
          <w:color w:val="auto"/>
        </w:rPr>
        <w:t>：</w:t>
      </w:r>
      <w:r>
        <w:rPr>
          <w:rFonts w:hint="eastAsia" w:ascii="宋体" w:hAnsi="宋体" w:cs="MingLiU"/>
          <w:snapToGrid w:val="0"/>
          <w:color w:val="auto"/>
          <w:kern w:val="0"/>
          <w:szCs w:val="21"/>
          <w:u w:val="single"/>
          <w:lang w:eastAsia="zh-CN"/>
        </w:rPr>
        <w:t>重庆安居古城华夏文化旅游发展有限公司</w:t>
      </w:r>
    </w:p>
    <w:p>
      <w:pPr>
        <w:keepNext w:val="0"/>
        <w:keepLines w:val="0"/>
        <w:pageBreakBefore w:val="0"/>
        <w:widowControl w:val="0"/>
        <w:kinsoku/>
        <w:wordWrap/>
        <w:overflowPunct/>
        <w:topLinePunct w:val="0"/>
        <w:autoSpaceDE/>
        <w:autoSpaceDN/>
        <w:bidi w:val="0"/>
        <w:spacing w:line="400" w:lineRule="exact"/>
        <w:textAlignment w:val="auto"/>
        <w:outlineLvl w:val="9"/>
        <w:rPr>
          <w:rFonts w:hint="eastAsia"/>
          <w:color w:val="auto"/>
        </w:rPr>
      </w:pPr>
      <w:r>
        <w:rPr>
          <w:color w:val="auto"/>
        </w:rPr>
        <w:t>法定代表人：</w:t>
      </w:r>
    </w:p>
    <w:p>
      <w:pPr>
        <w:keepNext w:val="0"/>
        <w:keepLines w:val="0"/>
        <w:pageBreakBefore w:val="0"/>
        <w:widowControl w:val="0"/>
        <w:kinsoku/>
        <w:wordWrap/>
        <w:overflowPunct/>
        <w:topLinePunct w:val="0"/>
        <w:autoSpaceDE/>
        <w:autoSpaceDN/>
        <w:bidi w:val="0"/>
        <w:spacing w:line="400" w:lineRule="exact"/>
        <w:textAlignment w:val="auto"/>
        <w:outlineLvl w:val="9"/>
        <w:rPr>
          <w:rFonts w:hint="eastAsia" w:ascii="宋体" w:hAnsi="宋体" w:cs="宋体"/>
          <w:color w:val="auto"/>
          <w:kern w:val="0"/>
          <w:szCs w:val="21"/>
        </w:rPr>
      </w:pPr>
      <w:r>
        <w:rPr>
          <w:color w:val="auto"/>
        </w:rPr>
        <w:t>法定注册地址：</w:t>
      </w:r>
    </w:p>
    <w:p>
      <w:pPr>
        <w:keepNext w:val="0"/>
        <w:keepLines w:val="0"/>
        <w:pageBreakBefore w:val="0"/>
        <w:widowControl w:val="0"/>
        <w:kinsoku/>
        <w:wordWrap/>
        <w:overflowPunct/>
        <w:topLinePunct w:val="0"/>
        <w:autoSpaceDE/>
        <w:autoSpaceDN/>
        <w:bidi w:val="0"/>
        <w:spacing w:line="400" w:lineRule="exact"/>
        <w:textAlignment w:val="auto"/>
        <w:outlineLvl w:val="9"/>
        <w:rPr>
          <w:rFonts w:hint="eastAsia"/>
          <w:color w:val="auto"/>
        </w:rPr>
      </w:pPr>
      <w:r>
        <w:rPr>
          <w:color w:val="auto"/>
        </w:rPr>
        <w:t>承包人</w:t>
      </w:r>
      <w:r>
        <w:rPr>
          <w:rFonts w:hint="eastAsia"/>
          <w:color w:val="auto"/>
          <w:lang w:eastAsia="zh-CN"/>
        </w:rPr>
        <w:t>（</w:t>
      </w:r>
      <w:r>
        <w:rPr>
          <w:color w:val="auto"/>
        </w:rPr>
        <w:t>全称</w:t>
      </w:r>
      <w:r>
        <w:rPr>
          <w:rFonts w:hint="eastAsia"/>
          <w:color w:val="auto"/>
          <w:lang w:eastAsia="zh-CN"/>
        </w:rPr>
        <w:t>）</w:t>
      </w:r>
      <w:r>
        <w:rPr>
          <w:rFonts w:hint="eastAsia"/>
          <w:color w:val="auto"/>
        </w:rPr>
        <w:t xml:space="preserve">： </w:t>
      </w:r>
    </w:p>
    <w:p>
      <w:pPr>
        <w:keepNext w:val="0"/>
        <w:keepLines w:val="0"/>
        <w:pageBreakBefore w:val="0"/>
        <w:widowControl w:val="0"/>
        <w:kinsoku/>
        <w:wordWrap/>
        <w:overflowPunct/>
        <w:topLinePunct w:val="0"/>
        <w:autoSpaceDE/>
        <w:autoSpaceDN/>
        <w:bidi w:val="0"/>
        <w:spacing w:line="400" w:lineRule="exact"/>
        <w:textAlignment w:val="auto"/>
        <w:outlineLvl w:val="9"/>
        <w:rPr>
          <w:rFonts w:hint="eastAsia"/>
          <w:color w:val="auto"/>
        </w:rPr>
      </w:pPr>
      <w:r>
        <w:rPr>
          <w:color w:val="auto"/>
        </w:rPr>
        <w:t>法定代表人：</w:t>
      </w:r>
    </w:p>
    <w:p>
      <w:pPr>
        <w:keepNext w:val="0"/>
        <w:keepLines w:val="0"/>
        <w:pageBreakBefore w:val="0"/>
        <w:widowControl w:val="0"/>
        <w:kinsoku/>
        <w:wordWrap/>
        <w:overflowPunct/>
        <w:topLinePunct w:val="0"/>
        <w:autoSpaceDE/>
        <w:autoSpaceDN/>
        <w:bidi w:val="0"/>
        <w:spacing w:line="400" w:lineRule="exact"/>
        <w:textAlignment w:val="auto"/>
        <w:outlineLvl w:val="9"/>
        <w:rPr>
          <w:rFonts w:hint="eastAsia"/>
          <w:color w:val="auto"/>
        </w:rPr>
      </w:pPr>
      <w:r>
        <w:rPr>
          <w:color w:val="auto"/>
        </w:rPr>
        <w:t>法定注册地址：</w:t>
      </w:r>
      <w:r>
        <w:rPr>
          <w:rFonts w:hint="eastAsia"/>
          <w:color w:val="auto"/>
        </w:rPr>
        <w:t xml:space="preserve"> </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color w:val="auto"/>
        </w:rPr>
      </w:pPr>
      <w:r>
        <w:rPr>
          <w:color w:val="auto"/>
        </w:rPr>
        <w:t>发包人为</w:t>
      </w:r>
      <w:r>
        <w:rPr>
          <w:rFonts w:hint="eastAsia"/>
          <w:color w:val="auto"/>
        </w:rPr>
        <w:t>建设</w:t>
      </w:r>
      <w:r>
        <w:rPr>
          <w:rFonts w:hint="eastAsia" w:ascii="宋体" w:hAnsi="宋体" w:cs="MingLiU"/>
          <w:snapToGrid w:val="0"/>
          <w:color w:val="auto"/>
          <w:kern w:val="0"/>
          <w:szCs w:val="21"/>
          <w:u w:val="single"/>
          <w:lang w:eastAsia="zh-CN"/>
        </w:rPr>
        <w:t>安居古城书香文化街（配套部分）项目</w:t>
      </w:r>
      <w:r>
        <w:rPr>
          <w:color w:val="auto"/>
        </w:rPr>
        <w:t xml:space="preserve"> </w:t>
      </w:r>
      <w:r>
        <w:rPr>
          <w:rFonts w:hint="eastAsia"/>
          <w:color w:val="auto"/>
          <w:lang w:eastAsia="zh-CN"/>
        </w:rPr>
        <w:t>（</w:t>
      </w:r>
      <w:r>
        <w:rPr>
          <w:color w:val="auto"/>
        </w:rPr>
        <w:t>以下简称“本工程”</w:t>
      </w:r>
      <w:r>
        <w:rPr>
          <w:rFonts w:hint="eastAsia"/>
          <w:color w:val="auto"/>
          <w:lang w:eastAsia="zh-CN"/>
        </w:rPr>
        <w:t>）</w:t>
      </w:r>
      <w:r>
        <w:rPr>
          <w:rFonts w:hint="eastAsia"/>
          <w:color w:val="auto"/>
        </w:rPr>
        <w:t>，</w:t>
      </w:r>
      <w:r>
        <w:rPr>
          <w:color w:val="auto"/>
        </w:rPr>
        <w:t>已接受承包人提出的承担本工程的施工、竣工、交付并维修其任何缺陷的投标。依照《中华人民共和国招标投标法》、《中华人民共和国合同法》、《中华人民共和国建筑法》及其他有关法律、行政法规，遵循平等、自愿、公平和诚实信用的原则，双方共同达成并订立如下协议。</w:t>
      </w:r>
    </w:p>
    <w:p>
      <w:pPr>
        <w:keepNext w:val="0"/>
        <w:keepLines w:val="0"/>
        <w:pageBreakBefore w:val="0"/>
        <w:widowControl w:val="0"/>
        <w:kinsoku/>
        <w:wordWrap/>
        <w:overflowPunct/>
        <w:topLinePunct w:val="0"/>
        <w:autoSpaceDE/>
        <w:autoSpaceDN/>
        <w:bidi w:val="0"/>
        <w:spacing w:line="400" w:lineRule="exact"/>
        <w:textAlignment w:val="auto"/>
        <w:outlineLvl w:val="9"/>
        <w:rPr>
          <w:rFonts w:hint="eastAsia"/>
          <w:color w:val="auto"/>
        </w:rPr>
      </w:pPr>
      <w:r>
        <w:rPr>
          <w:color w:val="auto"/>
        </w:rPr>
        <w:t> 一、工程概况</w:t>
      </w:r>
    </w:p>
    <w:p>
      <w:pPr>
        <w:pageBreakBefore w:val="0"/>
        <w:widowControl w:val="0"/>
        <w:kinsoku/>
        <w:wordWrap/>
        <w:overflowPunct/>
        <w:topLinePunct w:val="0"/>
        <w:bidi w:val="0"/>
        <w:spacing w:line="440" w:lineRule="exact"/>
        <w:ind w:firstLine="420" w:firstLineChars="200"/>
        <w:textAlignment w:val="auto"/>
        <w:rPr>
          <w:rFonts w:hint="eastAsia" w:ascii="宋体" w:hAnsi="宋体" w:cs="宋体"/>
          <w:color w:val="auto"/>
          <w:kern w:val="0"/>
          <w:szCs w:val="21"/>
          <w:lang w:val="en-US" w:eastAsia="zh-CN"/>
        </w:rPr>
      </w:pPr>
      <w:r>
        <w:rPr>
          <w:rFonts w:hint="eastAsia" w:ascii="宋体" w:hAnsi="宋体" w:cs="宋体"/>
          <w:color w:val="auto"/>
          <w:kern w:val="0"/>
          <w:szCs w:val="21"/>
        </w:rPr>
        <w:t>1.1 项目概况</w:t>
      </w:r>
      <w:r>
        <w:rPr>
          <w:rFonts w:hint="eastAsia" w:ascii="宋体" w:hAnsi="宋体" w:cs="宋体"/>
          <w:color w:val="auto"/>
          <w:kern w:val="0"/>
          <w:szCs w:val="21"/>
          <w:lang w:eastAsia="zh-CN"/>
        </w:rPr>
        <w:t>：</w:t>
      </w:r>
    </w:p>
    <w:p>
      <w:pPr>
        <w:pageBreakBefore w:val="0"/>
        <w:widowControl w:val="0"/>
        <w:kinsoku/>
        <w:wordWrap/>
        <w:overflowPunct/>
        <w:topLinePunct w:val="0"/>
        <w:bidi w:val="0"/>
        <w:spacing w:line="440" w:lineRule="exact"/>
        <w:ind w:firstLine="420" w:firstLineChars="200"/>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1.2 建设地址：</w:t>
      </w:r>
      <w:r>
        <w:rPr>
          <w:rFonts w:hint="eastAsia"/>
          <w:lang w:eastAsia="zh-CN"/>
        </w:rPr>
        <w:t>安居古城书香文化街</w:t>
      </w:r>
      <w:r>
        <w:rPr>
          <w:rFonts w:hint="eastAsia" w:ascii="宋体" w:hAnsi="宋体" w:cs="宋体"/>
          <w:color w:val="auto"/>
          <w:kern w:val="0"/>
          <w:szCs w:val="21"/>
          <w:lang w:val="en-US" w:eastAsia="zh-CN"/>
        </w:rPr>
        <w:t>。</w:t>
      </w:r>
    </w:p>
    <w:p>
      <w:pPr>
        <w:pageBreakBefore w:val="0"/>
        <w:widowControl w:val="0"/>
        <w:kinsoku/>
        <w:wordWrap/>
        <w:overflowPunct/>
        <w:topLinePunct w:val="0"/>
        <w:bidi w:val="0"/>
        <w:spacing w:line="440" w:lineRule="exac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二、工程承包范围</w:t>
      </w:r>
    </w:p>
    <w:p>
      <w:pPr>
        <w:keepNext w:val="0"/>
        <w:keepLines w:val="0"/>
        <w:pageBreakBefore w:val="0"/>
        <w:widowControl w:val="0"/>
        <w:kinsoku/>
        <w:wordWrap/>
        <w:overflowPunct/>
        <w:topLinePunct w:val="0"/>
        <w:autoSpaceDE/>
        <w:autoSpaceDN/>
        <w:bidi w:val="0"/>
        <w:spacing w:line="400" w:lineRule="exact"/>
        <w:ind w:right="-416" w:rightChars="-198" w:firstLine="420" w:firstLineChars="200"/>
        <w:textAlignment w:val="auto"/>
        <w:outlineLvl w:val="9"/>
        <w:rPr>
          <w:rFonts w:hint="eastAsia" w:ascii="宋体" w:hAnsi="宋体" w:eastAsia="宋体" w:cs="宋体"/>
          <w:color w:val="auto"/>
          <w:kern w:val="0"/>
          <w:szCs w:val="21"/>
          <w:lang w:eastAsia="zh-CN"/>
        </w:rPr>
      </w:pPr>
      <w:r>
        <w:rPr>
          <w:color w:val="auto"/>
        </w:rPr>
        <w:t> 承包范围：</w:t>
      </w:r>
      <w:r>
        <w:rPr>
          <w:rFonts w:hint="eastAsia" w:ascii="宋体" w:hAnsi="宋体" w:cs="宋体"/>
          <w:color w:val="auto"/>
          <w:kern w:val="0"/>
          <w:sz w:val="21"/>
          <w:szCs w:val="21"/>
          <w:lang w:val="en-US" w:eastAsia="zh-CN"/>
        </w:rPr>
        <w:t>安居古城书香文化街（配套部分）项目施工图及工程量清单所示范围</w:t>
      </w:r>
      <w:r>
        <w:rPr>
          <w:rFonts w:hint="eastAsia" w:ascii="宋体" w:hAnsi="宋体" w:cs="宋体"/>
          <w:color w:val="auto"/>
          <w:kern w:val="0"/>
          <w:szCs w:val="21"/>
          <w:lang w:eastAsia="zh-CN"/>
        </w:rPr>
        <w:t>。</w:t>
      </w:r>
    </w:p>
    <w:p>
      <w:pPr>
        <w:keepNext w:val="0"/>
        <w:keepLines w:val="0"/>
        <w:pageBreakBefore w:val="0"/>
        <w:widowControl w:val="0"/>
        <w:kinsoku/>
        <w:wordWrap/>
        <w:overflowPunct/>
        <w:topLinePunct w:val="0"/>
        <w:autoSpaceDE/>
        <w:autoSpaceDN/>
        <w:bidi w:val="0"/>
        <w:spacing w:line="400" w:lineRule="exact"/>
        <w:textAlignment w:val="auto"/>
        <w:outlineLvl w:val="9"/>
        <w:rPr>
          <w:rFonts w:hint="eastAsia"/>
          <w:color w:val="auto"/>
        </w:rPr>
      </w:pPr>
      <w:r>
        <w:rPr>
          <w:color w:val="auto"/>
        </w:rPr>
        <w:t> 三、合同工期</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color w:val="auto"/>
        </w:rPr>
      </w:pPr>
      <w:r>
        <w:rPr>
          <w:color w:val="auto"/>
        </w:rPr>
        <w:t>工期总天数</w:t>
      </w:r>
      <w:r>
        <w:rPr>
          <w:rFonts w:hint="eastAsia"/>
          <w:color w:val="auto"/>
          <w:u w:val="single"/>
          <w:lang w:val="en-US" w:eastAsia="zh-CN"/>
        </w:rPr>
        <w:t>60日历天</w:t>
      </w:r>
      <w:r>
        <w:rPr>
          <w:color w:val="auto"/>
        </w:rPr>
        <w:t>，自监理人发出的开工通知中载明的开工日期起算。</w:t>
      </w:r>
    </w:p>
    <w:p>
      <w:pPr>
        <w:keepNext w:val="0"/>
        <w:keepLines w:val="0"/>
        <w:pageBreakBefore w:val="0"/>
        <w:widowControl w:val="0"/>
        <w:kinsoku/>
        <w:wordWrap/>
        <w:overflowPunct/>
        <w:topLinePunct w:val="0"/>
        <w:autoSpaceDE/>
        <w:autoSpaceDN/>
        <w:bidi w:val="0"/>
        <w:spacing w:line="400" w:lineRule="exact"/>
        <w:textAlignment w:val="auto"/>
        <w:outlineLvl w:val="9"/>
        <w:rPr>
          <w:color w:val="auto"/>
        </w:rPr>
      </w:pPr>
      <w:r>
        <w:rPr>
          <w:color w:val="auto"/>
        </w:rPr>
        <w:t> 四、质量标准</w:t>
      </w:r>
    </w:p>
    <w:p>
      <w:pPr>
        <w:keepNext w:val="0"/>
        <w:keepLines w:val="0"/>
        <w:pageBreakBefore w:val="0"/>
        <w:widowControl w:val="0"/>
        <w:kinsoku/>
        <w:wordWrap/>
        <w:overflowPunct/>
        <w:topLinePunct w:val="0"/>
        <w:autoSpaceDE/>
        <w:autoSpaceDN/>
        <w:bidi w:val="0"/>
        <w:spacing w:line="400" w:lineRule="exact"/>
        <w:textAlignment w:val="auto"/>
        <w:outlineLvl w:val="9"/>
        <w:rPr>
          <w:color w:val="auto"/>
        </w:rPr>
      </w:pPr>
      <w:r>
        <w:rPr>
          <w:color w:val="auto"/>
        </w:rPr>
        <w:t xml:space="preserve">  </w:t>
      </w:r>
      <w:r>
        <w:rPr>
          <w:rFonts w:hint="eastAsia"/>
          <w:color w:val="auto"/>
        </w:rPr>
        <w:t xml:space="preserve">   </w:t>
      </w:r>
      <w:r>
        <w:rPr>
          <w:color w:val="auto"/>
        </w:rPr>
        <w:t>工程质量标准：</w:t>
      </w:r>
      <w:r>
        <w:rPr>
          <w:rFonts w:hint="eastAsia" w:ascii="宋体" w:hAnsi="宋体"/>
          <w:color w:val="auto"/>
          <w:szCs w:val="21"/>
          <w:u w:val="single"/>
        </w:rPr>
        <w:t>达到国家现行有关施工质量验收规范要求，并达到合格标准</w:t>
      </w:r>
      <w:r>
        <w:rPr>
          <w:rFonts w:hint="eastAsia" w:ascii="宋体" w:hAnsi="宋体"/>
          <w:color w:val="auto"/>
          <w:szCs w:val="21"/>
        </w:rPr>
        <w:t>。</w:t>
      </w:r>
    </w:p>
    <w:p>
      <w:pPr>
        <w:keepNext w:val="0"/>
        <w:keepLines w:val="0"/>
        <w:pageBreakBefore w:val="0"/>
        <w:widowControl w:val="0"/>
        <w:kinsoku/>
        <w:wordWrap/>
        <w:overflowPunct/>
        <w:topLinePunct w:val="0"/>
        <w:autoSpaceDE/>
        <w:autoSpaceDN/>
        <w:bidi w:val="0"/>
        <w:spacing w:line="400" w:lineRule="exact"/>
        <w:textAlignment w:val="auto"/>
        <w:outlineLvl w:val="9"/>
        <w:rPr>
          <w:color w:val="auto"/>
        </w:rPr>
      </w:pPr>
      <w:r>
        <w:rPr>
          <w:color w:val="auto"/>
        </w:rPr>
        <w:t> 五、合同形式</w:t>
      </w:r>
    </w:p>
    <w:p>
      <w:pPr>
        <w:keepNext w:val="0"/>
        <w:keepLines w:val="0"/>
        <w:pageBreakBefore w:val="0"/>
        <w:widowControl w:val="0"/>
        <w:kinsoku/>
        <w:wordWrap/>
        <w:overflowPunct/>
        <w:topLinePunct w:val="0"/>
        <w:autoSpaceDE/>
        <w:autoSpaceDN/>
        <w:bidi w:val="0"/>
        <w:spacing w:line="400" w:lineRule="exact"/>
        <w:textAlignment w:val="auto"/>
        <w:outlineLvl w:val="9"/>
        <w:rPr>
          <w:color w:val="auto"/>
        </w:rPr>
      </w:pPr>
      <w:r>
        <w:rPr>
          <w:color w:val="auto"/>
        </w:rPr>
        <w:t xml:space="preserve">  </w:t>
      </w:r>
      <w:r>
        <w:rPr>
          <w:rFonts w:hint="eastAsia"/>
          <w:color w:val="auto"/>
        </w:rPr>
        <w:t xml:space="preserve">   </w:t>
      </w:r>
      <w:r>
        <w:rPr>
          <w:color w:val="auto"/>
        </w:rPr>
        <w:t>本合同采用</w:t>
      </w:r>
      <w:r>
        <w:rPr>
          <w:rFonts w:hint="eastAsia"/>
          <w:color w:val="auto"/>
          <w:u w:val="single"/>
        </w:rPr>
        <w:t xml:space="preserve"> 固定单价 </w:t>
      </w:r>
      <w:r>
        <w:rPr>
          <w:color w:val="auto"/>
        </w:rPr>
        <w:t>合同形式。</w:t>
      </w:r>
    </w:p>
    <w:p>
      <w:pPr>
        <w:keepNext w:val="0"/>
        <w:keepLines w:val="0"/>
        <w:pageBreakBefore w:val="0"/>
        <w:widowControl w:val="0"/>
        <w:kinsoku/>
        <w:wordWrap/>
        <w:overflowPunct/>
        <w:topLinePunct w:val="0"/>
        <w:autoSpaceDE/>
        <w:autoSpaceDN/>
        <w:bidi w:val="0"/>
        <w:spacing w:line="400" w:lineRule="exact"/>
        <w:textAlignment w:val="auto"/>
        <w:outlineLvl w:val="9"/>
        <w:rPr>
          <w:rFonts w:hint="eastAsia"/>
          <w:color w:val="auto"/>
        </w:rPr>
      </w:pPr>
      <w:r>
        <w:rPr>
          <w:color w:val="auto"/>
        </w:rPr>
        <w:t> 六、签约合同价</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outlineLvl w:val="9"/>
        <w:rPr>
          <w:rFonts w:hint="eastAsia"/>
          <w:b/>
          <w:color w:val="auto"/>
          <w:szCs w:val="22"/>
        </w:rPr>
      </w:pPr>
      <w:r>
        <w:rPr>
          <w:rFonts w:hint="eastAsia" w:ascii="宋体" w:hAnsi="宋体"/>
          <w:color w:val="auto"/>
        </w:rPr>
        <w:t>金额</w:t>
      </w:r>
      <w:r>
        <w:rPr>
          <w:rFonts w:hint="eastAsia" w:ascii="宋体" w:hAnsi="宋体"/>
          <w:color w:val="auto"/>
          <w:lang w:eastAsia="zh-CN"/>
        </w:rPr>
        <w:t>（</w:t>
      </w:r>
      <w:r>
        <w:rPr>
          <w:rFonts w:hint="eastAsia" w:ascii="宋体" w:hAnsi="宋体"/>
          <w:color w:val="auto"/>
        </w:rPr>
        <w:t>大写</w:t>
      </w:r>
      <w:r>
        <w:rPr>
          <w:rFonts w:hint="eastAsia" w:ascii="宋体" w:hAnsi="宋体"/>
          <w:color w:val="auto"/>
          <w:lang w:eastAsia="zh-CN"/>
        </w:rPr>
        <w:t>）</w:t>
      </w:r>
      <w:r>
        <w:rPr>
          <w:rFonts w:hint="eastAsia" w:ascii="宋体" w:hAnsi="宋体"/>
          <w:color w:val="auto"/>
        </w:rPr>
        <w:t>：</w:t>
      </w:r>
      <w:r>
        <w:rPr>
          <w:rFonts w:hint="eastAsia" w:ascii="宋体" w:hAnsi="宋体"/>
          <w:color w:val="auto"/>
          <w:u w:val="single"/>
        </w:rPr>
        <w:t>　　　        　</w:t>
      </w:r>
      <w:r>
        <w:rPr>
          <w:rFonts w:hint="eastAsia" w:ascii="宋体" w:hAnsi="宋体"/>
          <w:color w:val="auto"/>
        </w:rPr>
        <w:t>元</w:t>
      </w:r>
      <w:r>
        <w:rPr>
          <w:rFonts w:hint="eastAsia" w:ascii="宋体" w:hAnsi="宋体"/>
          <w:color w:val="auto"/>
          <w:lang w:eastAsia="zh-CN"/>
        </w:rPr>
        <w:t>（</w:t>
      </w:r>
      <w:r>
        <w:rPr>
          <w:rFonts w:hint="eastAsia" w:ascii="宋体" w:hAnsi="宋体"/>
          <w:color w:val="auto"/>
        </w:rPr>
        <w:t>人民币</w:t>
      </w:r>
      <w:r>
        <w:rPr>
          <w:rFonts w:hint="eastAsia" w:ascii="宋体" w:hAnsi="宋体"/>
          <w:color w:val="auto"/>
          <w:lang w:eastAsia="zh-CN"/>
        </w:rPr>
        <w:t>）</w:t>
      </w:r>
      <w:r>
        <w:rPr>
          <w:rFonts w:hint="eastAsia" w:ascii="宋体" w:hAnsi="宋体"/>
          <w:color w:val="auto"/>
        </w:rPr>
        <w:t>；</w:t>
      </w:r>
      <w:r>
        <w:rPr>
          <w:rFonts w:hint="eastAsia" w:ascii="宋体" w:hAnsi="宋体"/>
          <w:color w:val="auto"/>
          <w:lang w:eastAsia="zh-CN"/>
        </w:rPr>
        <w:t>（</w:t>
      </w:r>
      <w:r>
        <w:rPr>
          <w:rFonts w:hint="eastAsia" w:ascii="宋体" w:hAnsi="宋体"/>
          <w:color w:val="auto"/>
        </w:rPr>
        <w:t>小写</w:t>
      </w:r>
      <w:r>
        <w:rPr>
          <w:rFonts w:hint="eastAsia" w:ascii="宋体" w:hAnsi="宋体"/>
          <w:color w:val="auto"/>
          <w:lang w:eastAsia="zh-CN"/>
        </w:rPr>
        <w:t>）</w:t>
      </w:r>
      <w:r>
        <w:rPr>
          <w:rFonts w:hint="eastAsia" w:ascii="宋体" w:hAnsi="宋体"/>
          <w:color w:val="auto"/>
        </w:rPr>
        <w:t>￥：</w:t>
      </w:r>
      <w:r>
        <w:rPr>
          <w:rFonts w:hint="eastAsia" w:ascii="宋体" w:hAnsi="宋体"/>
          <w:color w:val="auto"/>
          <w:u w:val="single"/>
        </w:rPr>
        <w:t>　　   　　</w:t>
      </w:r>
      <w:r>
        <w:rPr>
          <w:rFonts w:hint="eastAsia" w:ascii="宋体" w:hAnsi="宋体"/>
          <w:color w:val="auto"/>
        </w:rPr>
        <w:t>元（其中已含安全文明施工费</w:t>
      </w:r>
      <w:r>
        <w:rPr>
          <w:rFonts w:hint="eastAsia" w:ascii="宋体" w:hAnsi="宋体"/>
          <w:color w:val="auto"/>
          <w:u w:val="single"/>
        </w:rPr>
        <w:t>　　　</w:t>
      </w:r>
      <w:r>
        <w:rPr>
          <w:rFonts w:hint="eastAsia" w:ascii="宋体" w:hAnsi="宋体"/>
          <w:color w:val="auto"/>
        </w:rPr>
        <w:t>元</w:t>
      </w:r>
      <w:r>
        <w:rPr>
          <w:rFonts w:hint="eastAsia"/>
          <w:color w:val="auto"/>
        </w:rPr>
        <w:t>，材料和工程设备暂估价</w:t>
      </w:r>
      <w:r>
        <w:rPr>
          <w:rFonts w:hint="eastAsia"/>
          <w:color w:val="auto"/>
          <w:u w:val="single"/>
        </w:rPr>
        <w:t xml:space="preserve">      </w:t>
      </w:r>
      <w:r>
        <w:rPr>
          <w:rFonts w:hint="eastAsia"/>
          <w:color w:val="auto"/>
        </w:rPr>
        <w:t>元，专业工程暂估价</w:t>
      </w:r>
      <w:r>
        <w:rPr>
          <w:rFonts w:hint="eastAsia"/>
          <w:color w:val="auto"/>
          <w:u w:val="single"/>
        </w:rPr>
        <w:t xml:space="preserve">      </w:t>
      </w:r>
      <w:r>
        <w:rPr>
          <w:rFonts w:hint="eastAsia"/>
          <w:color w:val="auto"/>
        </w:rPr>
        <w:t>元，暂列金额</w:t>
      </w:r>
      <w:r>
        <w:rPr>
          <w:rFonts w:hint="eastAsia"/>
          <w:color w:val="auto"/>
          <w:u w:val="single"/>
        </w:rPr>
        <w:t xml:space="preserve">      </w:t>
      </w:r>
      <w:r>
        <w:rPr>
          <w:rFonts w:hint="eastAsia"/>
          <w:color w:val="auto"/>
        </w:rPr>
        <w:t>元）。</w:t>
      </w:r>
      <w:r>
        <w:rPr>
          <w:rFonts w:hint="eastAsia"/>
          <w:b/>
          <w:color w:val="auto"/>
        </w:rPr>
        <w:t>本工程</w:t>
      </w:r>
      <w:r>
        <w:rPr>
          <w:rFonts w:hint="eastAsia"/>
          <w:b/>
          <w:color w:val="auto"/>
          <w:szCs w:val="22"/>
        </w:rPr>
        <w:t>最终结算金额以</w:t>
      </w:r>
      <w:r>
        <w:rPr>
          <w:rFonts w:hint="eastAsia"/>
          <w:b/>
          <w:color w:val="auto"/>
          <w:szCs w:val="22"/>
          <w:lang w:eastAsia="zh-CN"/>
        </w:rPr>
        <w:t>审计机构</w:t>
      </w:r>
      <w:r>
        <w:rPr>
          <w:rFonts w:hint="eastAsia"/>
          <w:b/>
          <w:color w:val="auto"/>
          <w:szCs w:val="22"/>
        </w:rPr>
        <w:t>审定的金额为准。</w:t>
      </w:r>
    </w:p>
    <w:p>
      <w:pPr>
        <w:keepNext w:val="0"/>
        <w:keepLines w:val="0"/>
        <w:pageBreakBefore w:val="0"/>
        <w:widowControl w:val="0"/>
        <w:kinsoku/>
        <w:wordWrap/>
        <w:overflowPunct/>
        <w:topLinePunct w:val="0"/>
        <w:autoSpaceDE/>
        <w:autoSpaceDN/>
        <w:bidi w:val="0"/>
        <w:spacing w:line="400" w:lineRule="exact"/>
        <w:textAlignment w:val="auto"/>
        <w:outlineLvl w:val="9"/>
        <w:rPr>
          <w:rFonts w:hint="eastAsia" w:ascii="宋体" w:hAnsi="宋体" w:eastAsia="宋体"/>
          <w:color w:val="auto"/>
          <w:lang w:eastAsia="zh-CN"/>
        </w:rPr>
      </w:pPr>
      <w:r>
        <w:rPr>
          <w:rFonts w:hint="eastAsia"/>
          <w:b/>
          <w:color w:val="auto"/>
          <w:szCs w:val="22"/>
        </w:rPr>
        <w:t>七</w:t>
      </w:r>
      <w:r>
        <w:rPr>
          <w:rFonts w:hint="eastAsia"/>
          <w:b/>
          <w:color w:val="auto"/>
          <w:szCs w:val="22"/>
          <w:lang w:eastAsia="zh-CN"/>
        </w:rPr>
        <w:t>、</w:t>
      </w:r>
      <w:r>
        <w:rPr>
          <w:rFonts w:hint="eastAsia" w:ascii="宋体" w:hAnsi="宋体"/>
          <w:color w:val="auto"/>
        </w:rPr>
        <w:t>承包人项目</w:t>
      </w:r>
      <w:r>
        <w:rPr>
          <w:rFonts w:hint="eastAsia" w:ascii="宋体" w:hAnsi="宋体"/>
          <w:color w:val="auto"/>
          <w:lang w:val="en-US" w:eastAsia="zh-CN"/>
        </w:rPr>
        <w:t>负责人</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ascii="宋体" w:hAnsi="宋体"/>
          <w:color w:val="auto"/>
        </w:rPr>
      </w:pPr>
      <w:r>
        <w:rPr>
          <w:rFonts w:hint="eastAsia" w:ascii="宋体" w:hAnsi="宋体"/>
          <w:color w:val="auto"/>
        </w:rPr>
        <w:t>1、项目技术负责人</w:t>
      </w:r>
    </w:p>
    <w:p>
      <w:pPr>
        <w:keepNext w:val="0"/>
        <w:keepLines w:val="0"/>
        <w:pageBreakBefore w:val="0"/>
        <w:widowControl w:val="0"/>
        <w:kinsoku/>
        <w:wordWrap/>
        <w:overflowPunct/>
        <w:topLinePunct w:val="0"/>
        <w:autoSpaceDE/>
        <w:autoSpaceDN/>
        <w:bidi w:val="0"/>
        <w:spacing w:line="400" w:lineRule="exact"/>
        <w:ind w:firstLine="405"/>
        <w:textAlignment w:val="auto"/>
        <w:outlineLvl w:val="9"/>
        <w:rPr>
          <w:rFonts w:ascii="宋体" w:hAnsi="宋体"/>
          <w:color w:val="auto"/>
        </w:rPr>
      </w:pPr>
      <w:r>
        <w:rPr>
          <w:rFonts w:hint="eastAsia" w:ascii="宋体" w:hAnsi="宋体"/>
          <w:color w:val="auto"/>
        </w:rPr>
        <w:t>姓名：</w:t>
      </w:r>
      <w:r>
        <w:rPr>
          <w:rFonts w:hint="eastAsia" w:ascii="宋体" w:hAnsi="宋体"/>
          <w:color w:val="auto"/>
          <w:u w:val="single"/>
        </w:rPr>
        <w:t>　　　　　　　　　　　　　</w:t>
      </w:r>
      <w:r>
        <w:rPr>
          <w:rFonts w:hint="eastAsia" w:ascii="宋体" w:hAnsi="宋体"/>
          <w:color w:val="auto"/>
        </w:rPr>
        <w:t>；　　　职称：</w:t>
      </w:r>
      <w:r>
        <w:rPr>
          <w:rFonts w:hint="eastAsia" w:ascii="宋体" w:hAnsi="宋体"/>
          <w:color w:val="auto"/>
          <w:u w:val="single"/>
        </w:rPr>
        <w:t>　　　　　　　　　　　　　　</w:t>
      </w:r>
      <w:r>
        <w:rPr>
          <w:rFonts w:hint="eastAsia" w:ascii="宋体" w:hAnsi="宋体"/>
          <w:color w:val="auto"/>
        </w:rPr>
        <w:t>；</w:t>
      </w:r>
    </w:p>
    <w:p>
      <w:pPr>
        <w:keepNext w:val="0"/>
        <w:keepLines w:val="0"/>
        <w:pageBreakBefore w:val="0"/>
        <w:widowControl w:val="0"/>
        <w:kinsoku/>
        <w:wordWrap/>
        <w:overflowPunct/>
        <w:topLinePunct w:val="0"/>
        <w:autoSpaceDE/>
        <w:autoSpaceDN/>
        <w:bidi w:val="0"/>
        <w:spacing w:line="400" w:lineRule="exact"/>
        <w:textAlignment w:val="auto"/>
        <w:outlineLvl w:val="9"/>
        <w:rPr>
          <w:rFonts w:ascii="宋体" w:hAnsi="宋体"/>
          <w:color w:val="auto"/>
        </w:rPr>
      </w:pPr>
      <w:r>
        <w:rPr>
          <w:rFonts w:hint="eastAsia" w:ascii="宋体" w:hAnsi="宋体"/>
          <w:color w:val="auto"/>
        </w:rPr>
        <w:t>　　身份证号：</w:t>
      </w:r>
      <w:r>
        <w:rPr>
          <w:rFonts w:hint="eastAsia" w:ascii="宋体" w:hAnsi="宋体"/>
          <w:color w:val="auto"/>
          <w:u w:val="single"/>
        </w:rPr>
        <w:t>　　　　　　　　　　　</w:t>
      </w:r>
      <w:r>
        <w:rPr>
          <w:rFonts w:hint="eastAsia" w:ascii="宋体" w:hAnsi="宋体"/>
          <w:color w:val="auto"/>
        </w:rPr>
        <w:t>；　　　证书号：</w:t>
      </w:r>
      <w:r>
        <w:rPr>
          <w:rFonts w:hint="eastAsia" w:ascii="宋体" w:hAnsi="宋体"/>
          <w:color w:val="auto"/>
          <w:u w:val="single"/>
        </w:rPr>
        <w:t>　　　　              　　</w:t>
      </w:r>
      <w:r>
        <w:rPr>
          <w:rFonts w:hint="eastAsia" w:ascii="宋体" w:hAnsi="宋体"/>
          <w:color w:val="auto"/>
        </w:rPr>
        <w:t>；</w:t>
      </w:r>
    </w:p>
    <w:p>
      <w:pPr>
        <w:keepNext w:val="0"/>
        <w:keepLines w:val="0"/>
        <w:pageBreakBefore w:val="0"/>
        <w:widowControl w:val="0"/>
        <w:kinsoku/>
        <w:wordWrap/>
        <w:overflowPunct/>
        <w:topLinePunct w:val="0"/>
        <w:autoSpaceDE/>
        <w:autoSpaceDN/>
        <w:bidi w:val="0"/>
        <w:spacing w:line="400" w:lineRule="exact"/>
        <w:textAlignment w:val="auto"/>
        <w:outlineLvl w:val="9"/>
        <w:rPr>
          <w:rFonts w:hint="eastAsia" w:ascii="宋体" w:hAnsi="宋体"/>
          <w:color w:val="auto"/>
        </w:rPr>
      </w:pPr>
      <w:r>
        <w:rPr>
          <w:rFonts w:hint="eastAsia" w:ascii="宋体" w:hAnsi="宋体"/>
          <w:color w:val="auto"/>
        </w:rPr>
        <w:t xml:space="preserve">    2、</w:t>
      </w:r>
      <w:r>
        <w:rPr>
          <w:rFonts w:hint="eastAsia"/>
          <w:color w:val="auto"/>
        </w:rPr>
        <w:t xml:space="preserve"> </w:t>
      </w:r>
      <w:r>
        <w:rPr>
          <w:rFonts w:hint="eastAsia" w:ascii="宋体" w:hAnsi="宋体"/>
          <w:color w:val="auto"/>
        </w:rPr>
        <w:t>…………………………。</w:t>
      </w:r>
    </w:p>
    <w:p>
      <w:pPr>
        <w:keepNext w:val="0"/>
        <w:keepLines w:val="0"/>
        <w:pageBreakBefore w:val="0"/>
        <w:widowControl w:val="0"/>
        <w:kinsoku/>
        <w:wordWrap/>
        <w:overflowPunct/>
        <w:topLinePunct w:val="0"/>
        <w:autoSpaceDE/>
        <w:autoSpaceDN/>
        <w:bidi w:val="0"/>
        <w:spacing w:line="400" w:lineRule="exact"/>
        <w:textAlignment w:val="auto"/>
        <w:outlineLvl w:val="9"/>
        <w:rPr>
          <w:rFonts w:ascii="宋体" w:hAnsi="宋体"/>
          <w:color w:val="auto"/>
        </w:rPr>
      </w:pPr>
      <w:r>
        <w:rPr>
          <w:rFonts w:hint="eastAsia" w:ascii="宋体" w:hAnsi="宋体"/>
          <w:color w:val="auto"/>
          <w:lang w:val="en-US" w:eastAsia="zh-CN"/>
        </w:rPr>
        <w:t>八</w:t>
      </w:r>
      <w:r>
        <w:rPr>
          <w:rFonts w:hint="eastAsia" w:ascii="宋体" w:hAnsi="宋体"/>
          <w:color w:val="auto"/>
        </w:rPr>
        <w:t>、合同文件的组成</w:t>
      </w:r>
    </w:p>
    <w:p>
      <w:pPr>
        <w:keepNext w:val="0"/>
        <w:keepLines w:val="0"/>
        <w:pageBreakBefore w:val="0"/>
        <w:widowControl w:val="0"/>
        <w:kinsoku/>
        <w:wordWrap/>
        <w:overflowPunct/>
        <w:topLinePunct w:val="0"/>
        <w:autoSpaceDE/>
        <w:autoSpaceDN/>
        <w:bidi w:val="0"/>
        <w:spacing w:line="400" w:lineRule="exact"/>
        <w:textAlignment w:val="auto"/>
        <w:outlineLvl w:val="9"/>
        <w:rPr>
          <w:rFonts w:ascii="宋体" w:hAnsi="宋体"/>
          <w:color w:val="auto"/>
        </w:rPr>
      </w:pPr>
      <w:r>
        <w:rPr>
          <w:rFonts w:hint="eastAsia" w:ascii="宋体" w:hAnsi="宋体"/>
          <w:color w:val="auto"/>
        </w:rPr>
        <w:t>　　下列文件共同构成合同文件：</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ascii="宋体" w:hAnsi="宋体"/>
          <w:color w:val="auto"/>
        </w:rPr>
      </w:pPr>
      <w:r>
        <w:rPr>
          <w:rFonts w:hint="eastAsia" w:ascii="宋体" w:hAnsi="宋体"/>
          <w:color w:val="auto"/>
        </w:rPr>
        <w:t>（1）</w:t>
      </w:r>
      <w:r>
        <w:rPr>
          <w:rFonts w:ascii="宋体" w:hAnsi="宋体"/>
          <w:color w:val="auto"/>
        </w:rPr>
        <w:t>合同协议书</w:t>
      </w:r>
      <w:r>
        <w:rPr>
          <w:rFonts w:hint="eastAsia" w:ascii="宋体" w:hAnsi="宋体"/>
          <w:color w:val="auto"/>
        </w:rPr>
        <w:t>；</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ascii="宋体" w:hAnsi="宋体"/>
          <w:color w:val="auto"/>
        </w:rPr>
      </w:pPr>
      <w:r>
        <w:rPr>
          <w:rFonts w:hint="eastAsia" w:ascii="宋体" w:hAnsi="宋体"/>
          <w:color w:val="auto"/>
        </w:rPr>
        <w:t>（2）中标通知书；</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ascii="宋体" w:hAnsi="宋体"/>
          <w:color w:val="auto"/>
        </w:rPr>
      </w:pPr>
      <w:r>
        <w:rPr>
          <w:rFonts w:hint="eastAsia" w:ascii="宋体" w:hAnsi="宋体"/>
          <w:color w:val="auto"/>
        </w:rPr>
        <w:t>（3）投标函及投标函附录；</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ascii="宋体" w:hAnsi="宋体"/>
          <w:color w:val="auto"/>
        </w:rPr>
      </w:pPr>
      <w:r>
        <w:rPr>
          <w:rFonts w:hint="eastAsia" w:ascii="宋体" w:hAnsi="宋体"/>
          <w:color w:val="auto"/>
        </w:rPr>
        <w:t>（4）专用合同条款；</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ascii="宋体" w:hAnsi="宋体"/>
          <w:color w:val="auto"/>
        </w:rPr>
      </w:pPr>
      <w:r>
        <w:rPr>
          <w:rFonts w:hint="eastAsia" w:ascii="宋体" w:hAnsi="宋体"/>
          <w:color w:val="auto"/>
        </w:rPr>
        <w:t>（5）通用合同条款；</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ascii="宋体" w:hAnsi="宋体"/>
          <w:color w:val="auto"/>
        </w:rPr>
      </w:pPr>
      <w:r>
        <w:rPr>
          <w:rFonts w:hint="eastAsia" w:ascii="宋体" w:hAnsi="宋体"/>
          <w:color w:val="auto"/>
        </w:rPr>
        <w:t>（6）技术标准和要求；</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ascii="宋体" w:hAnsi="宋体"/>
          <w:color w:val="auto"/>
        </w:rPr>
      </w:pPr>
      <w:r>
        <w:rPr>
          <w:rFonts w:hint="eastAsia" w:ascii="宋体" w:hAnsi="宋体"/>
          <w:color w:val="auto"/>
        </w:rPr>
        <w:t>（7）图纸；</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ascii="宋体" w:hAnsi="宋体"/>
          <w:color w:val="auto"/>
        </w:rPr>
      </w:pPr>
      <w:r>
        <w:rPr>
          <w:rFonts w:hint="eastAsia" w:ascii="宋体" w:hAnsi="宋体"/>
          <w:color w:val="auto"/>
        </w:rPr>
        <w:t>（8）已标价工程量清单；</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ascii="宋体" w:hAnsi="宋体"/>
          <w:color w:val="auto"/>
        </w:rPr>
      </w:pPr>
      <w:r>
        <w:rPr>
          <w:rFonts w:hint="eastAsia" w:ascii="宋体" w:hAnsi="宋体"/>
          <w:color w:val="auto"/>
        </w:rPr>
        <w:t>（9）招标文件；</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ascii="宋体" w:hAnsi="宋体"/>
          <w:color w:val="auto"/>
        </w:rPr>
      </w:pPr>
      <w:r>
        <w:rPr>
          <w:rFonts w:ascii="宋体" w:hAnsi="宋体"/>
          <w:color w:val="auto"/>
        </w:rPr>
        <w:t>（</w:t>
      </w:r>
      <w:r>
        <w:rPr>
          <w:rFonts w:hint="eastAsia" w:ascii="宋体" w:hAnsi="宋体"/>
          <w:color w:val="auto"/>
        </w:rPr>
        <w:t>10</w:t>
      </w:r>
      <w:r>
        <w:rPr>
          <w:rFonts w:ascii="宋体" w:hAnsi="宋体"/>
          <w:color w:val="auto"/>
        </w:rPr>
        <w:t>）投标文件</w:t>
      </w:r>
      <w:r>
        <w:rPr>
          <w:rFonts w:hint="eastAsia" w:ascii="宋体" w:hAnsi="宋体"/>
          <w:color w:val="auto"/>
        </w:rPr>
        <w:t>；</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ascii="宋体" w:hAnsi="宋体"/>
          <w:color w:val="auto"/>
        </w:rPr>
      </w:pPr>
      <w:r>
        <w:rPr>
          <w:rFonts w:hint="eastAsia"/>
          <w:color w:val="auto"/>
        </w:rPr>
        <w:t>（11）工程质量保修书；</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ascii="宋体" w:hAnsi="宋体"/>
          <w:color w:val="auto"/>
        </w:rPr>
      </w:pPr>
      <w:r>
        <w:rPr>
          <w:rFonts w:hint="eastAsia"/>
          <w:color w:val="auto"/>
        </w:rPr>
        <w:t>（12）建设工程廉政责任书；</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eastAsia" w:ascii="宋体" w:hAnsi="宋体"/>
          <w:color w:val="auto"/>
        </w:rPr>
      </w:pPr>
      <w:r>
        <w:rPr>
          <w:rFonts w:hint="eastAsia" w:ascii="宋体" w:hAnsi="宋体"/>
          <w:color w:val="auto"/>
        </w:rPr>
        <w:t>（13）其他合同文件。</w:t>
      </w:r>
    </w:p>
    <w:p>
      <w:pPr>
        <w:keepNext w:val="0"/>
        <w:keepLines w:val="0"/>
        <w:pageBreakBefore w:val="0"/>
        <w:widowControl w:val="0"/>
        <w:kinsoku/>
        <w:wordWrap/>
        <w:overflowPunct/>
        <w:topLinePunct w:val="0"/>
        <w:autoSpaceDE/>
        <w:autoSpaceDN/>
        <w:bidi w:val="0"/>
        <w:spacing w:line="400" w:lineRule="exact"/>
        <w:textAlignment w:val="auto"/>
        <w:outlineLvl w:val="9"/>
        <w:rPr>
          <w:rFonts w:ascii="宋体" w:hAnsi="宋体"/>
          <w:color w:val="auto"/>
        </w:rPr>
      </w:pPr>
      <w:r>
        <w:rPr>
          <w:rFonts w:hint="eastAsia" w:ascii="宋体" w:hAnsi="宋体"/>
          <w:color w:val="auto"/>
        </w:rPr>
        <w:t>　　上述文件互相补充和解释，如有不明确或不一致之处，以合同约定次序在先者为准。</w:t>
      </w:r>
    </w:p>
    <w:p>
      <w:pPr>
        <w:keepNext w:val="0"/>
        <w:keepLines w:val="0"/>
        <w:pageBreakBefore w:val="0"/>
        <w:widowControl w:val="0"/>
        <w:kinsoku/>
        <w:wordWrap/>
        <w:overflowPunct/>
        <w:topLinePunct w:val="0"/>
        <w:autoSpaceDE/>
        <w:autoSpaceDN/>
        <w:bidi w:val="0"/>
        <w:spacing w:line="400" w:lineRule="exact"/>
        <w:textAlignment w:val="auto"/>
        <w:outlineLvl w:val="9"/>
        <w:rPr>
          <w:rFonts w:ascii="宋体" w:hAnsi="宋体"/>
          <w:color w:val="auto"/>
        </w:rPr>
      </w:pPr>
      <w:r>
        <w:rPr>
          <w:color w:val="auto"/>
        </w:rPr>
        <w:t> </w:t>
      </w:r>
      <w:r>
        <w:rPr>
          <w:rFonts w:hint="eastAsia" w:ascii="宋体" w:hAnsi="宋体"/>
          <w:color w:val="auto"/>
        </w:rPr>
        <w:t>　　本协议书中有关词语定义与合同条款中的定义相同。</w:t>
      </w:r>
    </w:p>
    <w:p>
      <w:pPr>
        <w:keepNext w:val="0"/>
        <w:keepLines w:val="0"/>
        <w:pageBreakBefore w:val="0"/>
        <w:widowControl w:val="0"/>
        <w:kinsoku/>
        <w:wordWrap/>
        <w:overflowPunct/>
        <w:topLinePunct w:val="0"/>
        <w:autoSpaceDE/>
        <w:autoSpaceDN/>
        <w:bidi w:val="0"/>
        <w:spacing w:line="400" w:lineRule="exact"/>
        <w:ind w:firstLine="420"/>
        <w:textAlignment w:val="auto"/>
        <w:outlineLvl w:val="9"/>
        <w:rPr>
          <w:rFonts w:hint="eastAsia" w:ascii="宋体" w:hAnsi="宋体"/>
          <w:color w:val="auto"/>
        </w:rPr>
      </w:pPr>
      <w:r>
        <w:rPr>
          <w:rFonts w:hint="eastAsia" w:ascii="宋体" w:hAnsi="宋体"/>
          <w:color w:val="auto"/>
          <w:lang w:val="en-US" w:eastAsia="zh-CN"/>
        </w:rPr>
        <w:t>九</w:t>
      </w:r>
      <w:r>
        <w:rPr>
          <w:rFonts w:hint="eastAsia" w:ascii="宋体" w:hAnsi="宋体"/>
          <w:color w:val="auto"/>
        </w:rPr>
        <w:t>、承包人承诺按照合同约定进行施工、竣工、交付并在缺陷责任期内对工程缺陷承担维修责任。</w:t>
      </w:r>
    </w:p>
    <w:p>
      <w:pPr>
        <w:keepNext w:val="0"/>
        <w:keepLines w:val="0"/>
        <w:pageBreakBefore w:val="0"/>
        <w:widowControl w:val="0"/>
        <w:kinsoku/>
        <w:wordWrap/>
        <w:overflowPunct/>
        <w:topLinePunct w:val="0"/>
        <w:autoSpaceDE/>
        <w:autoSpaceDN/>
        <w:bidi w:val="0"/>
        <w:spacing w:line="400" w:lineRule="exact"/>
        <w:ind w:firstLine="420"/>
        <w:textAlignment w:val="auto"/>
        <w:outlineLvl w:val="9"/>
        <w:rPr>
          <w:rFonts w:hint="eastAsia" w:ascii="宋体" w:hAnsi="宋体"/>
          <w:color w:val="auto"/>
        </w:rPr>
      </w:pPr>
      <w:r>
        <w:rPr>
          <w:rFonts w:hint="eastAsia" w:ascii="宋体" w:hAnsi="宋体"/>
          <w:color w:val="auto"/>
        </w:rPr>
        <w:t>十、发包人承诺按照合同约定的条件、期限和方式向承包人支付合同价款。</w:t>
      </w:r>
    </w:p>
    <w:p>
      <w:pPr>
        <w:keepNext w:val="0"/>
        <w:keepLines w:val="0"/>
        <w:pageBreakBefore w:val="0"/>
        <w:widowControl w:val="0"/>
        <w:kinsoku/>
        <w:wordWrap/>
        <w:overflowPunct/>
        <w:topLinePunct w:val="0"/>
        <w:autoSpaceDE/>
        <w:autoSpaceDN/>
        <w:bidi w:val="0"/>
        <w:spacing w:line="400" w:lineRule="exact"/>
        <w:ind w:firstLine="420"/>
        <w:textAlignment w:val="auto"/>
        <w:outlineLvl w:val="9"/>
        <w:rPr>
          <w:rFonts w:hint="eastAsia" w:ascii="宋体" w:hAnsi="宋体"/>
          <w:color w:val="auto"/>
        </w:rPr>
      </w:pPr>
      <w:r>
        <w:rPr>
          <w:rFonts w:hint="eastAsia" w:ascii="宋体" w:hAnsi="宋体"/>
          <w:color w:val="auto"/>
        </w:rPr>
        <w:t>十</w:t>
      </w:r>
      <w:r>
        <w:rPr>
          <w:rFonts w:hint="eastAsia" w:ascii="宋体" w:hAnsi="宋体"/>
          <w:color w:val="auto"/>
          <w:lang w:val="en-US" w:eastAsia="zh-CN"/>
        </w:rPr>
        <w:t>一</w:t>
      </w:r>
      <w:r>
        <w:rPr>
          <w:rFonts w:hint="eastAsia" w:ascii="宋体" w:hAnsi="宋体"/>
          <w:color w:val="auto"/>
        </w:rPr>
        <w:t>、本协议书自承包人向发包人提交了履约保证金后，并经双方法定代表人或其委托代理人签字盖单位章后生效，本协议连同其他合同文件</w:t>
      </w:r>
      <w:r>
        <w:rPr>
          <w:rFonts w:hint="eastAsia" w:ascii="宋体" w:hAnsi="宋体"/>
          <w:color w:val="auto"/>
          <w:szCs w:val="21"/>
        </w:rPr>
        <w:t>正本一式</w:t>
      </w:r>
      <w:r>
        <w:rPr>
          <w:rFonts w:hint="eastAsia" w:ascii="宋体" w:hAnsi="宋体"/>
          <w:color w:val="auto"/>
          <w:szCs w:val="21"/>
          <w:u w:val="single"/>
        </w:rPr>
        <w:t xml:space="preserve">  </w:t>
      </w:r>
      <w:r>
        <w:rPr>
          <w:rFonts w:hint="eastAsia" w:ascii="宋体" w:hAnsi="宋体"/>
          <w:color w:val="auto"/>
          <w:szCs w:val="21"/>
        </w:rPr>
        <w:t>份，合同双方各执</w:t>
      </w:r>
      <w:r>
        <w:rPr>
          <w:rFonts w:hint="eastAsia" w:ascii="宋体" w:hAnsi="宋体"/>
          <w:color w:val="auto"/>
          <w:szCs w:val="21"/>
          <w:u w:val="single"/>
        </w:rPr>
        <w:t xml:space="preserve">  </w:t>
      </w:r>
      <w:r>
        <w:rPr>
          <w:rFonts w:hint="eastAsia" w:ascii="宋体" w:hAnsi="宋体"/>
          <w:color w:val="auto"/>
          <w:szCs w:val="21"/>
        </w:rPr>
        <w:t>份；副本一式</w:t>
      </w:r>
      <w:r>
        <w:rPr>
          <w:rFonts w:hint="eastAsia" w:ascii="宋体" w:hAnsi="宋体"/>
          <w:color w:val="auto"/>
          <w:szCs w:val="21"/>
          <w:u w:val="single"/>
        </w:rPr>
        <w:t xml:space="preserve">  </w:t>
      </w:r>
      <w:r>
        <w:rPr>
          <w:rFonts w:hint="eastAsia" w:ascii="宋体" w:hAnsi="宋体"/>
          <w:color w:val="auto"/>
          <w:szCs w:val="21"/>
        </w:rPr>
        <w:t>份，发包人</w:t>
      </w:r>
      <w:r>
        <w:rPr>
          <w:rFonts w:hint="eastAsia" w:ascii="宋体" w:hAnsi="宋体"/>
          <w:color w:val="auto"/>
          <w:szCs w:val="21"/>
          <w:u w:val="single"/>
        </w:rPr>
        <w:t xml:space="preserve">  </w:t>
      </w:r>
      <w:r>
        <w:rPr>
          <w:rFonts w:hint="eastAsia" w:ascii="宋体" w:hAnsi="宋体"/>
          <w:color w:val="auto"/>
          <w:szCs w:val="21"/>
        </w:rPr>
        <w:t>份，承包人</w:t>
      </w:r>
      <w:r>
        <w:rPr>
          <w:rFonts w:hint="eastAsia" w:ascii="宋体" w:hAnsi="宋体"/>
          <w:color w:val="auto"/>
          <w:szCs w:val="21"/>
          <w:u w:val="single"/>
        </w:rPr>
        <w:t xml:space="preserve">  </w:t>
      </w:r>
      <w:r>
        <w:rPr>
          <w:rFonts w:hint="eastAsia" w:ascii="宋体" w:hAnsi="宋体"/>
          <w:color w:val="auto"/>
          <w:szCs w:val="21"/>
        </w:rPr>
        <w:t>份，其中一份在合同报送建设行政主管部门备案时留存。</w:t>
      </w:r>
    </w:p>
    <w:p>
      <w:pPr>
        <w:keepNext w:val="0"/>
        <w:keepLines w:val="0"/>
        <w:pageBreakBefore w:val="0"/>
        <w:widowControl w:val="0"/>
        <w:kinsoku/>
        <w:wordWrap/>
        <w:overflowPunct/>
        <w:topLinePunct w:val="0"/>
        <w:autoSpaceDE/>
        <w:autoSpaceDN/>
        <w:bidi w:val="0"/>
        <w:spacing w:line="400" w:lineRule="exact"/>
        <w:ind w:firstLine="420"/>
        <w:textAlignment w:val="auto"/>
        <w:outlineLvl w:val="9"/>
        <w:rPr>
          <w:rFonts w:hint="eastAsia" w:ascii="宋体" w:hAnsi="宋体"/>
          <w:color w:val="auto"/>
        </w:rPr>
      </w:pPr>
      <w:r>
        <w:rPr>
          <w:rFonts w:hint="eastAsia" w:ascii="宋体" w:hAnsi="宋体"/>
          <w:color w:val="auto"/>
        </w:rPr>
        <w:t>十</w:t>
      </w:r>
      <w:r>
        <w:rPr>
          <w:rFonts w:hint="eastAsia" w:ascii="宋体" w:hAnsi="宋体"/>
          <w:color w:val="auto"/>
          <w:lang w:val="en-US" w:eastAsia="zh-CN"/>
        </w:rPr>
        <w:t>二</w:t>
      </w:r>
      <w:r>
        <w:rPr>
          <w:rFonts w:hint="eastAsia" w:ascii="宋体" w:hAnsi="宋体"/>
          <w:color w:val="auto"/>
        </w:rPr>
        <w:t>、合同未尽事宜，双方另行签订补充协议，但不得背离本协议第九条所约定的合同文件的实质性内容。补充协议是合同文件的组成部分。</w:t>
      </w:r>
    </w:p>
    <w:p>
      <w:pPr>
        <w:keepNext w:val="0"/>
        <w:keepLines w:val="0"/>
        <w:pageBreakBefore w:val="0"/>
        <w:widowControl w:val="0"/>
        <w:kinsoku/>
        <w:wordWrap/>
        <w:overflowPunct/>
        <w:topLinePunct w:val="0"/>
        <w:autoSpaceDE/>
        <w:autoSpaceDN/>
        <w:bidi w:val="0"/>
        <w:spacing w:line="400" w:lineRule="exact"/>
        <w:ind w:firstLine="420"/>
        <w:textAlignment w:val="auto"/>
        <w:outlineLvl w:val="9"/>
        <w:rPr>
          <w:rFonts w:hint="eastAsia" w:ascii="宋体" w:hAnsi="宋体"/>
          <w:color w:val="auto"/>
        </w:rPr>
      </w:pP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ascii="宋体" w:hAnsi="宋体" w:cs="MingLiUfalt"/>
          <w:snapToGrid w:val="0"/>
          <w:color w:val="auto"/>
          <w:kern w:val="0"/>
          <w:szCs w:val="21"/>
        </w:rPr>
      </w:pPr>
      <w:r>
        <w:rPr>
          <w:rFonts w:hint="eastAsia" w:ascii="宋体" w:hAnsi="宋体" w:cs="MingLiUfalt"/>
          <w:snapToGrid w:val="0"/>
          <w:color w:val="auto"/>
          <w:kern w:val="0"/>
          <w:szCs w:val="21"/>
        </w:rPr>
        <w:t>发包人：</w:t>
      </w:r>
      <w:r>
        <w:rPr>
          <w:rFonts w:hint="eastAsia" w:ascii="宋体" w:hAnsi="宋体"/>
          <w:color w:val="auto"/>
          <w:u w:val="single"/>
        </w:rPr>
        <w:t>　　　　　　　　　　</w:t>
      </w:r>
      <w:r>
        <w:rPr>
          <w:rFonts w:hint="eastAsia" w:ascii="宋体" w:hAnsi="宋体"/>
          <w:color w:val="auto"/>
          <w:u w:val="single"/>
          <w:lang w:eastAsia="zh-CN"/>
        </w:rPr>
        <w:t>（</w:t>
      </w:r>
      <w:r>
        <w:rPr>
          <w:rFonts w:hint="eastAsia" w:ascii="宋体" w:hAnsi="宋体" w:cs="MingLiUfalt"/>
          <w:snapToGrid w:val="0"/>
          <w:color w:val="auto"/>
          <w:kern w:val="0"/>
          <w:szCs w:val="21"/>
        </w:rPr>
        <w:t>盖单位公章</w:t>
      </w:r>
      <w:r>
        <w:rPr>
          <w:rFonts w:hint="eastAsia" w:ascii="宋体" w:hAnsi="宋体" w:cs="MingLiUfalt"/>
          <w:snapToGrid w:val="0"/>
          <w:color w:val="auto"/>
          <w:kern w:val="0"/>
          <w:szCs w:val="21"/>
          <w:lang w:eastAsia="zh-CN"/>
        </w:rPr>
        <w:t>）</w:t>
      </w:r>
      <w:r>
        <w:rPr>
          <w:rFonts w:hint="eastAsia" w:ascii="宋体" w:hAnsi="宋体" w:cs="MingLiUfalt"/>
          <w:snapToGrid w:val="0"/>
          <w:color w:val="auto"/>
          <w:kern w:val="0"/>
          <w:szCs w:val="21"/>
        </w:rPr>
        <w:t xml:space="preserve">    承包人：</w:t>
      </w:r>
      <w:r>
        <w:rPr>
          <w:rFonts w:hint="eastAsia" w:ascii="宋体" w:hAnsi="宋体"/>
          <w:color w:val="auto"/>
          <w:u w:val="single"/>
        </w:rPr>
        <w:t>　　　　　　　　　　</w:t>
      </w:r>
      <w:r>
        <w:rPr>
          <w:rFonts w:hint="eastAsia" w:ascii="宋体" w:hAnsi="宋体"/>
          <w:color w:val="auto"/>
          <w:u w:val="single"/>
          <w:lang w:eastAsia="zh-CN"/>
        </w:rPr>
        <w:t>（</w:t>
      </w:r>
      <w:r>
        <w:rPr>
          <w:rFonts w:hint="eastAsia" w:ascii="宋体" w:hAnsi="宋体" w:cs="MingLiUfalt"/>
          <w:snapToGrid w:val="0"/>
          <w:color w:val="auto"/>
          <w:kern w:val="0"/>
          <w:szCs w:val="21"/>
        </w:rPr>
        <w:t>盖单位公章</w:t>
      </w:r>
      <w:r>
        <w:rPr>
          <w:rFonts w:hint="eastAsia" w:ascii="宋体" w:hAnsi="宋体" w:cs="MingLiUfalt"/>
          <w:snapToGrid w:val="0"/>
          <w:color w:val="auto"/>
          <w:kern w:val="0"/>
          <w:szCs w:val="21"/>
          <w:lang w:eastAsia="zh-CN"/>
        </w:rPr>
        <w:t>）</w:t>
      </w:r>
      <w:r>
        <w:rPr>
          <w:rFonts w:ascii="宋体" w:hAnsi="宋体" w:cs="MingLiUfalt"/>
          <w:snapToGrid w:val="0"/>
          <w:color w:val="auto"/>
          <w:kern w:val="0"/>
          <w:szCs w:val="21"/>
        </w:rPr>
        <w:t xml:space="preserve">  </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ascii="宋体" w:hAnsi="宋体"/>
          <w:color w:val="auto"/>
        </w:rPr>
      </w:pPr>
      <w:r>
        <w:rPr>
          <w:rFonts w:hint="eastAsia" w:ascii="宋体" w:hAnsi="宋体"/>
          <w:color w:val="auto"/>
        </w:rPr>
        <w:t>法定地址：</w:t>
      </w:r>
      <w:r>
        <w:rPr>
          <w:rFonts w:hint="eastAsia" w:ascii="宋体" w:hAnsi="宋体"/>
          <w:color w:val="auto"/>
          <w:u w:val="single"/>
        </w:rPr>
        <w:t>　　　　　　　　　  　</w:t>
      </w:r>
      <w:r>
        <w:rPr>
          <w:rFonts w:hint="eastAsia" w:ascii="宋体" w:hAnsi="宋体"/>
          <w:color w:val="auto"/>
        </w:rPr>
        <w:t>　　　      法定地址：</w:t>
      </w:r>
      <w:r>
        <w:rPr>
          <w:rFonts w:hint="eastAsia" w:ascii="宋体" w:hAnsi="宋体"/>
          <w:color w:val="auto"/>
          <w:u w:val="single"/>
        </w:rPr>
        <w:t>　　　　　　　　  　　</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ascii="宋体" w:hAnsi="宋体" w:cs="MingLiUfalt"/>
          <w:snapToGrid w:val="0"/>
          <w:color w:val="auto"/>
          <w:kern w:val="0"/>
          <w:szCs w:val="21"/>
        </w:rPr>
      </w:pPr>
      <w:r>
        <w:rPr>
          <w:rFonts w:hint="eastAsia" w:ascii="宋体" w:hAnsi="宋体" w:cs="MingLiUfalt"/>
          <w:snapToGrid w:val="0"/>
          <w:color w:val="auto"/>
          <w:kern w:val="0"/>
          <w:szCs w:val="21"/>
        </w:rPr>
        <w:t>法定代表人：</w:t>
      </w:r>
      <w:r>
        <w:rPr>
          <w:rFonts w:hint="eastAsia" w:ascii="宋体" w:hAnsi="宋体"/>
          <w:color w:val="auto"/>
          <w:u w:val="single"/>
        </w:rPr>
        <w:t>　         　　</w:t>
      </w:r>
      <w:r>
        <w:rPr>
          <w:rFonts w:hint="eastAsia" w:ascii="宋体" w:hAnsi="宋体"/>
          <w:color w:val="auto"/>
        </w:rPr>
        <w:t>（签字）</w:t>
      </w:r>
      <w:r>
        <w:rPr>
          <w:rFonts w:hint="eastAsia" w:ascii="宋体" w:hAnsi="宋体" w:cs="MingLiUfalt"/>
          <w:snapToGrid w:val="0"/>
          <w:color w:val="auto"/>
          <w:kern w:val="0"/>
          <w:szCs w:val="21"/>
        </w:rPr>
        <w:t xml:space="preserve">         法定代表人：</w:t>
      </w:r>
      <w:r>
        <w:rPr>
          <w:rFonts w:hint="eastAsia" w:ascii="宋体" w:hAnsi="宋体"/>
          <w:color w:val="auto"/>
          <w:u w:val="single"/>
        </w:rPr>
        <w:t>　　       　 　</w:t>
      </w:r>
      <w:r>
        <w:rPr>
          <w:rFonts w:hint="eastAsia" w:ascii="宋体" w:hAnsi="宋体"/>
          <w:color w:val="auto"/>
        </w:rPr>
        <w:t>（签字）</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ascii="宋体" w:hAnsi="宋体"/>
          <w:color w:val="auto"/>
        </w:rPr>
      </w:pPr>
      <w:r>
        <w:rPr>
          <w:rFonts w:hint="eastAsia" w:ascii="宋体" w:hAnsi="宋体"/>
          <w:color w:val="auto"/>
        </w:rPr>
        <w:t>电    话：</w:t>
      </w:r>
      <w:r>
        <w:rPr>
          <w:rFonts w:hint="eastAsia" w:ascii="宋体" w:hAnsi="宋体"/>
          <w:color w:val="auto"/>
          <w:u w:val="single"/>
        </w:rPr>
        <w:t>　　　　　　  　　　　</w:t>
      </w:r>
      <w:r>
        <w:rPr>
          <w:rFonts w:hint="eastAsia" w:ascii="宋体" w:hAnsi="宋体"/>
          <w:color w:val="auto"/>
        </w:rPr>
        <w:t>　　　　    电    话：</w:t>
      </w:r>
      <w:r>
        <w:rPr>
          <w:rFonts w:hint="eastAsia" w:ascii="宋体" w:hAnsi="宋体"/>
          <w:color w:val="auto"/>
          <w:u w:val="single"/>
        </w:rPr>
        <w:t>　　　　　　　　  　　</w:t>
      </w:r>
      <w:r>
        <w:rPr>
          <w:rFonts w:hint="eastAsia" w:ascii="宋体" w:hAnsi="宋体"/>
          <w:color w:val="auto"/>
        </w:rPr>
        <w:t>　</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ascii="宋体" w:hAnsi="宋体"/>
          <w:color w:val="auto"/>
        </w:rPr>
      </w:pPr>
      <w:r>
        <w:rPr>
          <w:rFonts w:hint="eastAsia" w:ascii="宋体" w:hAnsi="宋体"/>
          <w:color w:val="auto"/>
        </w:rPr>
        <w:t>传    真：</w:t>
      </w:r>
      <w:r>
        <w:rPr>
          <w:rFonts w:hint="eastAsia" w:ascii="宋体" w:hAnsi="宋体"/>
          <w:color w:val="auto"/>
          <w:u w:val="single"/>
        </w:rPr>
        <w:t>　　　　　　　  　　　</w:t>
      </w:r>
      <w:r>
        <w:rPr>
          <w:rFonts w:hint="eastAsia" w:ascii="宋体" w:hAnsi="宋体"/>
          <w:color w:val="auto"/>
        </w:rPr>
        <w:t>　　　　　  传    真：</w:t>
      </w:r>
      <w:r>
        <w:rPr>
          <w:rFonts w:hint="eastAsia" w:ascii="宋体" w:hAnsi="宋体"/>
          <w:color w:val="auto"/>
          <w:u w:val="single"/>
        </w:rPr>
        <w:t>　　　　　　　    　　</w:t>
      </w:r>
      <w:r>
        <w:rPr>
          <w:rFonts w:hint="eastAsia" w:ascii="宋体" w:hAnsi="宋体"/>
          <w:color w:val="auto"/>
        </w:rPr>
        <w:t>　</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ascii="宋体" w:hAnsi="宋体"/>
          <w:color w:val="auto"/>
        </w:rPr>
      </w:pPr>
      <w:r>
        <w:rPr>
          <w:rFonts w:hint="eastAsia" w:ascii="宋体" w:hAnsi="宋体"/>
          <w:color w:val="auto"/>
        </w:rPr>
        <w:t>电子邮箱：</w:t>
      </w:r>
      <w:r>
        <w:rPr>
          <w:rFonts w:hint="eastAsia" w:ascii="宋体" w:hAnsi="宋体"/>
          <w:color w:val="auto"/>
          <w:u w:val="single"/>
        </w:rPr>
        <w:t>　　　　　　　  　　　</w:t>
      </w:r>
      <w:r>
        <w:rPr>
          <w:rFonts w:hint="eastAsia" w:ascii="宋体" w:hAnsi="宋体"/>
          <w:color w:val="auto"/>
        </w:rPr>
        <w:t>　　　　　  电子邮箱：</w:t>
      </w:r>
      <w:r>
        <w:rPr>
          <w:rFonts w:hint="eastAsia" w:ascii="宋体" w:hAnsi="宋体"/>
          <w:color w:val="auto"/>
          <w:u w:val="single"/>
        </w:rPr>
        <w:t>　　　　　　　  　　　</w:t>
      </w:r>
      <w:r>
        <w:rPr>
          <w:rFonts w:hint="eastAsia" w:ascii="宋体" w:hAnsi="宋体"/>
          <w:color w:val="auto"/>
        </w:rPr>
        <w:t>　</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ascii="宋体" w:hAnsi="宋体"/>
          <w:color w:val="auto"/>
        </w:rPr>
      </w:pPr>
      <w:r>
        <w:rPr>
          <w:rFonts w:hint="eastAsia" w:ascii="宋体" w:hAnsi="宋体"/>
          <w:color w:val="auto"/>
        </w:rPr>
        <w:t>开户银行：</w:t>
      </w:r>
      <w:r>
        <w:rPr>
          <w:rFonts w:hint="eastAsia" w:ascii="宋体" w:hAnsi="宋体"/>
          <w:color w:val="auto"/>
          <w:u w:val="single"/>
        </w:rPr>
        <w:t>　　　　　　　 　 　　</w:t>
      </w:r>
      <w:r>
        <w:rPr>
          <w:rFonts w:hint="eastAsia" w:ascii="宋体" w:hAnsi="宋体"/>
          <w:color w:val="auto"/>
        </w:rPr>
        <w:t>　　　　 　 开户银行：</w:t>
      </w:r>
      <w:r>
        <w:rPr>
          <w:rFonts w:hint="eastAsia" w:ascii="宋体" w:hAnsi="宋体"/>
          <w:color w:val="auto"/>
          <w:u w:val="single"/>
        </w:rPr>
        <w:t>　　　　　　　    　　</w:t>
      </w:r>
      <w:r>
        <w:rPr>
          <w:rFonts w:hint="eastAsia" w:ascii="宋体" w:hAnsi="宋体"/>
          <w:color w:val="auto"/>
        </w:rPr>
        <w:t>　</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ascii="宋体" w:hAnsi="宋体"/>
          <w:color w:val="auto"/>
        </w:rPr>
      </w:pPr>
      <w:r>
        <w:rPr>
          <w:rFonts w:hint="eastAsia" w:ascii="宋体" w:hAnsi="宋体"/>
          <w:color w:val="auto"/>
        </w:rPr>
        <w:t>帐    号：</w:t>
      </w:r>
      <w:r>
        <w:rPr>
          <w:rFonts w:hint="eastAsia" w:ascii="宋体" w:hAnsi="宋体"/>
          <w:color w:val="auto"/>
          <w:u w:val="single"/>
        </w:rPr>
        <w:t>　　　　　　 　　 　　</w:t>
      </w:r>
      <w:r>
        <w:rPr>
          <w:rFonts w:hint="eastAsia" w:ascii="宋体" w:hAnsi="宋体"/>
          <w:color w:val="auto"/>
        </w:rPr>
        <w:t>　　　　  　帐    号：</w:t>
      </w:r>
      <w:r>
        <w:rPr>
          <w:rFonts w:hint="eastAsia" w:ascii="宋体" w:hAnsi="宋体"/>
          <w:color w:val="auto"/>
          <w:u w:val="single"/>
        </w:rPr>
        <w:t>　　　　　　　　    　</w:t>
      </w:r>
      <w:r>
        <w:rPr>
          <w:rFonts w:hint="eastAsia" w:ascii="宋体" w:hAnsi="宋体"/>
          <w:color w:val="auto"/>
        </w:rPr>
        <w:t>　</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ascii="宋体" w:hAnsi="宋体"/>
          <w:color w:val="auto"/>
        </w:rPr>
      </w:pPr>
      <w:r>
        <w:rPr>
          <w:rFonts w:hint="eastAsia" w:ascii="宋体" w:hAnsi="宋体"/>
          <w:color w:val="auto"/>
        </w:rPr>
        <w:t>邮政编码：</w:t>
      </w:r>
      <w:r>
        <w:rPr>
          <w:rFonts w:hint="eastAsia" w:ascii="宋体" w:hAnsi="宋体"/>
          <w:color w:val="auto"/>
          <w:u w:val="single"/>
        </w:rPr>
        <w:t>　　　　　　 　　 　　</w:t>
      </w:r>
      <w:r>
        <w:rPr>
          <w:rFonts w:hint="eastAsia" w:ascii="宋体" w:hAnsi="宋体"/>
          <w:color w:val="auto"/>
        </w:rPr>
        <w:t>　　　　　  邮政编码：</w:t>
      </w:r>
      <w:r>
        <w:rPr>
          <w:rFonts w:hint="eastAsia" w:ascii="宋体" w:hAnsi="宋体"/>
          <w:color w:val="auto"/>
          <w:u w:val="single"/>
        </w:rPr>
        <w:t>　　　　　　　  　　　</w:t>
      </w:r>
      <w:r>
        <w:rPr>
          <w:rFonts w:hint="eastAsia" w:ascii="宋体" w:hAnsi="宋体"/>
          <w:color w:val="auto"/>
        </w:rPr>
        <w:t>　</w:t>
      </w:r>
    </w:p>
    <w:p>
      <w:pPr>
        <w:keepNext w:val="0"/>
        <w:keepLines w:val="0"/>
        <w:pageBreakBefore w:val="0"/>
        <w:widowControl w:val="0"/>
        <w:kinsoku/>
        <w:wordWrap/>
        <w:overflowPunct/>
        <w:topLinePunct w:val="0"/>
        <w:autoSpaceDE/>
        <w:autoSpaceDN/>
        <w:bidi w:val="0"/>
        <w:spacing w:line="400" w:lineRule="exact"/>
        <w:textAlignment w:val="auto"/>
        <w:outlineLvl w:val="9"/>
        <w:rPr>
          <w:rFonts w:hint="eastAsia" w:ascii="宋体" w:hAnsi="宋体" w:cs="宋体"/>
          <w:color w:val="auto"/>
          <w:szCs w:val="21"/>
        </w:rPr>
      </w:pPr>
      <w:r>
        <w:rPr>
          <w:rFonts w:hint="eastAsia" w:ascii="宋体" w:hAnsi="宋体" w:cs="宋体"/>
          <w:color w:val="auto"/>
          <w:szCs w:val="21"/>
        </w:rPr>
        <w:t>　　　　　　</w:t>
      </w:r>
    </w:p>
    <w:p>
      <w:pPr>
        <w:keepNext w:val="0"/>
        <w:keepLines w:val="0"/>
        <w:pageBreakBefore w:val="0"/>
        <w:widowControl w:val="0"/>
        <w:kinsoku/>
        <w:wordWrap/>
        <w:overflowPunct/>
        <w:topLinePunct w:val="0"/>
        <w:autoSpaceDE/>
        <w:autoSpaceDN/>
        <w:bidi w:val="0"/>
        <w:spacing w:line="400" w:lineRule="exact"/>
        <w:ind w:firstLine="1785" w:firstLineChars="850"/>
        <w:textAlignment w:val="auto"/>
        <w:outlineLvl w:val="9"/>
        <w:rPr>
          <w:rFonts w:hint="eastAsia"/>
          <w:b/>
          <w:color w:val="auto"/>
          <w:sz w:val="32"/>
          <w:szCs w:val="32"/>
        </w:rPr>
      </w:pPr>
      <w:r>
        <w:rPr>
          <w:rFonts w:hint="eastAsia" w:ascii="宋体" w:hAnsi="宋体" w:cs="宋体"/>
          <w:color w:val="auto"/>
          <w:szCs w:val="21"/>
        </w:rPr>
        <w:t>　年　　月　　日　　　　　　　　　            年　　月　　日</w:t>
      </w:r>
    </w:p>
    <w:p>
      <w:pPr>
        <w:pStyle w:val="6"/>
        <w:pageBreakBefore w:val="0"/>
        <w:widowControl w:val="0"/>
        <w:numPr>
          <w:ilvl w:val="0"/>
          <w:numId w:val="0"/>
        </w:numPr>
        <w:kinsoku/>
        <w:wordWrap/>
        <w:overflowPunct/>
        <w:topLinePunct w:val="0"/>
        <w:autoSpaceDE/>
        <w:autoSpaceDN/>
        <w:bidi w:val="0"/>
        <w:spacing w:before="0" w:beforeLines="0" w:after="0" w:afterLines="0" w:line="400" w:lineRule="exact"/>
        <w:jc w:val="both"/>
        <w:textAlignment w:val="auto"/>
        <w:rPr>
          <w:rFonts w:hint="eastAsia" w:ascii="黑体" w:eastAsia="黑体"/>
          <w:color w:val="auto"/>
        </w:rPr>
      </w:pPr>
      <w:bookmarkStart w:id="472" w:name="_Toc452058738"/>
      <w:bookmarkStart w:id="473" w:name="_Toc418077865"/>
      <w:bookmarkStart w:id="474" w:name="_Toc11318"/>
      <w:bookmarkStart w:id="475" w:name="_Toc428455509"/>
    </w:p>
    <w:p>
      <w:pPr>
        <w:rPr>
          <w:rFonts w:hint="eastAsia"/>
        </w:rPr>
      </w:pPr>
    </w:p>
    <w:p>
      <w:pPr>
        <w:pStyle w:val="6"/>
        <w:pageBreakBefore w:val="0"/>
        <w:widowControl w:val="0"/>
        <w:numPr>
          <w:ilvl w:val="0"/>
          <w:numId w:val="0"/>
        </w:numPr>
        <w:kinsoku/>
        <w:wordWrap/>
        <w:overflowPunct/>
        <w:topLinePunct w:val="0"/>
        <w:autoSpaceDE/>
        <w:autoSpaceDN/>
        <w:bidi w:val="0"/>
        <w:spacing w:before="0" w:beforeLines="0" w:after="0" w:afterLines="0" w:line="400" w:lineRule="exact"/>
        <w:jc w:val="center"/>
        <w:textAlignment w:val="auto"/>
        <w:rPr>
          <w:rFonts w:hint="eastAsia" w:ascii="黑体" w:eastAsia="黑体"/>
          <w:color w:val="auto"/>
          <w:lang w:val="en-US" w:eastAsia="zh-CN"/>
        </w:rPr>
      </w:pPr>
    </w:p>
    <w:p>
      <w:pPr>
        <w:pStyle w:val="6"/>
        <w:pageBreakBefore w:val="0"/>
        <w:widowControl w:val="0"/>
        <w:numPr>
          <w:ilvl w:val="0"/>
          <w:numId w:val="0"/>
        </w:numPr>
        <w:kinsoku/>
        <w:wordWrap/>
        <w:overflowPunct/>
        <w:topLinePunct w:val="0"/>
        <w:autoSpaceDE/>
        <w:autoSpaceDN/>
        <w:bidi w:val="0"/>
        <w:spacing w:before="0" w:beforeLines="0" w:after="0" w:afterLines="0" w:line="400" w:lineRule="exact"/>
        <w:jc w:val="center"/>
        <w:textAlignment w:val="auto"/>
        <w:rPr>
          <w:rFonts w:hint="eastAsia"/>
          <w:color w:val="auto"/>
        </w:rPr>
      </w:pPr>
      <w:r>
        <w:rPr>
          <w:rFonts w:hint="eastAsia" w:ascii="黑体" w:eastAsia="黑体"/>
          <w:color w:val="auto"/>
          <w:lang w:val="en-US" w:eastAsia="zh-CN"/>
        </w:rPr>
        <w:t>第二节</w:t>
      </w:r>
      <w:r>
        <w:rPr>
          <w:rFonts w:hint="eastAsia" w:ascii="黑体" w:eastAsia="黑体"/>
          <w:color w:val="auto"/>
        </w:rPr>
        <w:t xml:space="preserve"> </w:t>
      </w:r>
      <w:r>
        <w:rPr>
          <w:rFonts w:hint="eastAsia"/>
          <w:color w:val="auto"/>
        </w:rPr>
        <w:t>通用合同条款</w:t>
      </w:r>
    </w:p>
    <w:p>
      <w:pPr>
        <w:snapToGrid w:val="0"/>
        <w:spacing w:line="288" w:lineRule="auto"/>
        <w:ind w:firstLine="440" w:firstLineChars="200"/>
        <w:rPr>
          <w:rFonts w:hint="eastAsia" w:ascii="宋体" w:hAnsi="宋体"/>
          <w:bCs/>
          <w:color w:val="auto"/>
          <w:sz w:val="22"/>
          <w:szCs w:val="22"/>
        </w:rPr>
      </w:pPr>
      <w:r>
        <w:rPr>
          <w:rFonts w:hint="eastAsia" w:ascii="宋体" w:hAnsi="宋体"/>
          <w:bCs/>
          <w:color w:val="auto"/>
          <w:sz w:val="22"/>
          <w:szCs w:val="22"/>
        </w:rPr>
        <w:t>采用中华人民共和国《标准施工招标文件（2007年版）》（中国计划出版社）第四章第一节的《通用合同条款》。</w:t>
      </w:r>
    </w:p>
    <w:p>
      <w:pPr>
        <w:pStyle w:val="6"/>
        <w:pageBreakBefore w:val="0"/>
        <w:numPr>
          <w:ilvl w:val="0"/>
          <w:numId w:val="0"/>
        </w:numPr>
        <w:kinsoku/>
        <w:wordWrap/>
        <w:overflowPunct/>
        <w:topLinePunct w:val="0"/>
        <w:autoSpaceDE/>
        <w:autoSpaceDN/>
        <w:bidi w:val="0"/>
        <w:spacing w:before="0" w:beforeLines="0" w:after="0" w:afterLines="0" w:line="400" w:lineRule="exact"/>
        <w:jc w:val="center"/>
        <w:textAlignment w:val="auto"/>
        <w:rPr>
          <w:rFonts w:hint="eastAsia" w:ascii="黑体" w:eastAsia="黑体"/>
          <w:color w:val="auto"/>
        </w:rPr>
      </w:pPr>
      <w:r>
        <w:rPr>
          <w:rFonts w:hint="eastAsia" w:ascii="黑体" w:eastAsia="黑体"/>
          <w:color w:val="auto"/>
          <w:lang w:val="en-US" w:eastAsia="zh-CN"/>
        </w:rPr>
        <w:t xml:space="preserve">第三节 </w:t>
      </w:r>
      <w:r>
        <w:rPr>
          <w:rFonts w:hint="eastAsia" w:ascii="黑体" w:eastAsia="黑体"/>
          <w:color w:val="auto"/>
        </w:rPr>
        <w:t>合同专用条款</w:t>
      </w:r>
      <w:bookmarkEnd w:id="472"/>
      <w:bookmarkEnd w:id="473"/>
      <w:bookmarkEnd w:id="474"/>
      <w:bookmarkEnd w:id="475"/>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1. 一般约定</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1.1  词语定义</w:t>
      </w:r>
    </w:p>
    <w:p>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rFonts w:hint="eastAsia"/>
          <w:color w:val="auto"/>
        </w:rPr>
      </w:pPr>
      <w:r>
        <w:rPr>
          <w:rFonts w:hint="eastAsia"/>
          <w:color w:val="auto"/>
        </w:rPr>
        <w:t>1.1.2  合同当事人和人员</w:t>
      </w:r>
    </w:p>
    <w:p>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rFonts w:hint="eastAsia"/>
          <w:b/>
          <w:color w:val="auto"/>
          <w:u w:val="single"/>
        </w:rPr>
      </w:pPr>
      <w:r>
        <w:rPr>
          <w:rFonts w:hint="eastAsia"/>
          <w:color w:val="auto"/>
        </w:rPr>
        <w:t>1.1.2.2  发包人：</w:t>
      </w:r>
      <w:r>
        <w:rPr>
          <w:rFonts w:hint="eastAsia"/>
          <w:b/>
          <w:color w:val="auto"/>
          <w:u w:val="single"/>
        </w:rPr>
        <w:t xml:space="preserve"> </w:t>
      </w:r>
      <w:r>
        <w:rPr>
          <w:rFonts w:hint="eastAsia"/>
          <w:b/>
          <w:color w:val="auto"/>
          <w:u w:val="single"/>
          <w:lang w:eastAsia="zh-CN"/>
        </w:rPr>
        <w:t>重庆安居古城华夏文化旅游发展有限公司</w:t>
      </w:r>
    </w:p>
    <w:p>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rFonts w:hint="eastAsia"/>
          <w:color w:val="auto"/>
        </w:rPr>
      </w:pPr>
      <w:r>
        <w:rPr>
          <w:rFonts w:hint="eastAsia"/>
          <w:color w:val="auto"/>
        </w:rPr>
        <w:t>1.1.2.3  承包人：</w:t>
      </w:r>
      <w:r>
        <w:rPr>
          <w:rFonts w:hint="eastAsia"/>
          <w:b/>
          <w:color w:val="auto"/>
          <w:u w:val="single"/>
        </w:rPr>
        <w:t xml:space="preserve"> </w:t>
      </w:r>
      <w:r>
        <w:rPr>
          <w:rFonts w:hint="eastAsia"/>
          <w:color w:val="auto"/>
          <w:u w:val="single"/>
        </w:rPr>
        <w:t xml:space="preserve">                         </w:t>
      </w:r>
      <w:r>
        <w:rPr>
          <w:rFonts w:hint="eastAsia"/>
          <w:color w:val="auto"/>
        </w:rPr>
        <w:t xml:space="preserve"> </w:t>
      </w:r>
    </w:p>
    <w:p>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rFonts w:hint="eastAsia"/>
          <w:color w:val="auto"/>
        </w:rPr>
      </w:pPr>
      <w:r>
        <w:rPr>
          <w:rFonts w:hint="eastAsia"/>
          <w:color w:val="auto"/>
        </w:rPr>
        <w:t>1.1.2.6  监理人：</w:t>
      </w:r>
      <w:r>
        <w:rPr>
          <w:rFonts w:hint="eastAsia"/>
          <w:b/>
          <w:color w:val="auto"/>
          <w:u w:val="single"/>
        </w:rPr>
        <w:t xml:space="preserve"> </w:t>
      </w:r>
      <w:r>
        <w:rPr>
          <w:rFonts w:hint="eastAsia"/>
          <w:color w:val="auto"/>
          <w:u w:val="single"/>
        </w:rPr>
        <w:t xml:space="preserve">                         </w:t>
      </w:r>
      <w:r>
        <w:rPr>
          <w:rFonts w:hint="eastAsia"/>
          <w:b/>
          <w:color w:val="auto"/>
        </w:rPr>
        <w:t xml:space="preserve"> </w:t>
      </w:r>
      <w:r>
        <w:rPr>
          <w:rFonts w:hint="eastAsia"/>
          <w:color w:val="auto"/>
        </w:rPr>
        <w:t xml:space="preserve">                         </w:t>
      </w:r>
    </w:p>
    <w:p>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rFonts w:hint="eastAsia"/>
          <w:color w:val="auto"/>
        </w:rPr>
      </w:pPr>
      <w:r>
        <w:rPr>
          <w:rFonts w:hint="eastAsia"/>
          <w:color w:val="auto"/>
        </w:rPr>
        <w:t>1.1.3  工程和设备</w:t>
      </w:r>
    </w:p>
    <w:p>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rFonts w:hint="eastAsia"/>
          <w:color w:val="auto"/>
        </w:rPr>
      </w:pPr>
      <w:r>
        <w:rPr>
          <w:rFonts w:hint="eastAsia"/>
          <w:color w:val="auto"/>
        </w:rPr>
        <w:t>1.1.3.2  永久工程：</w:t>
      </w:r>
      <w:r>
        <w:rPr>
          <w:rFonts w:hint="eastAsia"/>
          <w:b/>
          <w:color w:val="auto"/>
        </w:rPr>
        <w:t xml:space="preserve"> </w:t>
      </w:r>
      <w:r>
        <w:rPr>
          <w:rFonts w:hint="eastAsia"/>
          <w:b/>
          <w:color w:val="auto"/>
          <w:u w:val="single"/>
        </w:rPr>
        <w:t xml:space="preserve">本工程招标范围内的各项工程。 </w:t>
      </w:r>
    </w:p>
    <w:p>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rFonts w:hint="eastAsia"/>
          <w:color w:val="auto"/>
        </w:rPr>
      </w:pPr>
      <w:r>
        <w:rPr>
          <w:rFonts w:hint="eastAsia"/>
          <w:color w:val="auto"/>
        </w:rPr>
        <w:t xml:space="preserve">1.1.3.3  临时工程： </w:t>
      </w:r>
      <w:r>
        <w:rPr>
          <w:rFonts w:hint="eastAsia"/>
          <w:b/>
          <w:color w:val="auto"/>
          <w:u w:val="single"/>
        </w:rPr>
        <w:t xml:space="preserve">为完成前款工程所修建的各类临时性工程。 </w:t>
      </w:r>
    </w:p>
    <w:p>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rFonts w:hint="eastAsia"/>
          <w:color w:val="auto"/>
        </w:rPr>
      </w:pPr>
      <w:r>
        <w:rPr>
          <w:rFonts w:hint="eastAsia"/>
          <w:color w:val="auto"/>
        </w:rPr>
        <w:t>1.1.3.10  永久占地：</w:t>
      </w:r>
    </w:p>
    <w:p>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rFonts w:hint="eastAsia"/>
          <w:color w:val="auto"/>
        </w:rPr>
      </w:pPr>
      <w:r>
        <w:rPr>
          <w:rFonts w:hint="eastAsia"/>
          <w:color w:val="auto"/>
        </w:rPr>
        <w:t xml:space="preserve">1.1.3.11  临时占地： </w:t>
      </w:r>
      <w:r>
        <w:rPr>
          <w:rFonts w:hint="eastAsia"/>
          <w:b/>
          <w:color w:val="auto"/>
          <w:u w:val="single"/>
        </w:rPr>
        <w:t>施工临设用地、施工便道用地等，由承包人根据现场实际情况决定，临时占地发生的费用由承包人自行承担。</w:t>
      </w:r>
    </w:p>
    <w:p>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rFonts w:hint="eastAsia"/>
          <w:color w:val="auto"/>
        </w:rPr>
      </w:pPr>
      <w:r>
        <w:rPr>
          <w:rFonts w:hint="eastAsia"/>
          <w:color w:val="auto"/>
        </w:rPr>
        <w:t>1.1.4  日期</w:t>
      </w:r>
    </w:p>
    <w:p>
      <w:pPr>
        <w:pageBreakBefore w:val="0"/>
        <w:widowControl/>
        <w:tabs>
          <w:tab w:val="left" w:pos="5040"/>
          <w:tab w:val="left" w:pos="6300"/>
        </w:tabs>
        <w:kinsoku/>
        <w:wordWrap/>
        <w:overflowPunct/>
        <w:topLinePunct w:val="0"/>
        <w:autoSpaceDE/>
        <w:autoSpaceDN/>
        <w:bidi w:val="0"/>
        <w:adjustRightInd w:val="0"/>
        <w:snapToGrid w:val="0"/>
        <w:spacing w:line="400" w:lineRule="exact"/>
        <w:ind w:firstLine="420" w:firstLineChars="200"/>
        <w:jc w:val="left"/>
        <w:textAlignment w:val="auto"/>
        <w:rPr>
          <w:rFonts w:hint="eastAsia"/>
          <w:b/>
          <w:color w:val="auto"/>
          <w:szCs w:val="22"/>
          <w:u w:val="single"/>
        </w:rPr>
      </w:pPr>
      <w:r>
        <w:rPr>
          <w:rFonts w:hint="eastAsia"/>
          <w:color w:val="auto"/>
        </w:rPr>
        <w:t>1.1.4.5 缺陷责任期：</w:t>
      </w:r>
      <w:r>
        <w:rPr>
          <w:rFonts w:hint="eastAsia" w:ascii="宋体" w:hAnsi="宋体" w:eastAsia="宋体" w:cs="宋体"/>
          <w:b/>
          <w:color w:val="auto"/>
          <w:szCs w:val="22"/>
          <w:u w:val="single"/>
          <w:lang w:val="en-US" w:eastAsia="zh-CN"/>
        </w:rPr>
        <w:t>24个月</w:t>
      </w:r>
      <w:r>
        <w:rPr>
          <w:rFonts w:hint="eastAsia"/>
          <w:b/>
          <w:color w:val="auto"/>
          <w:szCs w:val="22"/>
          <w:u w:val="single"/>
        </w:rPr>
        <w:t>，自工程竣工验收合格之日起计算。</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1.4  合同文件的优先顺序</w:t>
      </w:r>
    </w:p>
    <w:p>
      <w:pPr>
        <w:pageBreakBefore w:val="0"/>
        <w:kinsoku/>
        <w:wordWrap/>
        <w:overflowPunct/>
        <w:topLinePunct w:val="0"/>
        <w:autoSpaceDE/>
        <w:autoSpaceDN/>
        <w:bidi w:val="0"/>
        <w:spacing w:line="400" w:lineRule="exact"/>
        <w:ind w:firstLine="420" w:firstLineChars="200"/>
        <w:textAlignment w:val="auto"/>
        <w:rPr>
          <w:rFonts w:hint="eastAsia"/>
          <w:color w:val="auto"/>
        </w:rPr>
      </w:pPr>
      <w:r>
        <w:rPr>
          <w:rFonts w:hint="eastAsia"/>
          <w:color w:val="auto"/>
        </w:rPr>
        <w:t>合同文件组成及解释顺序：</w:t>
      </w:r>
    </w:p>
    <w:p>
      <w:pPr>
        <w:pageBreakBefore w:val="0"/>
        <w:kinsoku/>
        <w:wordWrap/>
        <w:overflowPunct/>
        <w:topLinePunct w:val="0"/>
        <w:autoSpaceDE/>
        <w:autoSpaceDN/>
        <w:bidi w:val="0"/>
        <w:spacing w:line="400" w:lineRule="exact"/>
        <w:ind w:firstLine="420" w:firstLineChars="200"/>
        <w:textAlignment w:val="auto"/>
        <w:rPr>
          <w:color w:val="auto"/>
        </w:rPr>
      </w:pPr>
      <w:r>
        <w:rPr>
          <w:rFonts w:hint="eastAsia"/>
          <w:color w:val="auto"/>
        </w:rPr>
        <w:t>（1）</w:t>
      </w:r>
      <w:r>
        <w:rPr>
          <w:color w:val="auto"/>
        </w:rPr>
        <w:t>合同协议书</w:t>
      </w:r>
      <w:r>
        <w:rPr>
          <w:rFonts w:hint="eastAsia"/>
          <w:color w:val="auto"/>
        </w:rPr>
        <w:t>；</w:t>
      </w:r>
    </w:p>
    <w:p>
      <w:pPr>
        <w:pageBreakBefore w:val="0"/>
        <w:kinsoku/>
        <w:wordWrap/>
        <w:overflowPunct/>
        <w:topLinePunct w:val="0"/>
        <w:autoSpaceDE/>
        <w:autoSpaceDN/>
        <w:bidi w:val="0"/>
        <w:spacing w:line="400" w:lineRule="exact"/>
        <w:ind w:firstLine="420" w:firstLineChars="200"/>
        <w:textAlignment w:val="auto"/>
        <w:rPr>
          <w:color w:val="auto"/>
        </w:rPr>
      </w:pPr>
      <w:r>
        <w:rPr>
          <w:rFonts w:hint="eastAsia"/>
          <w:color w:val="auto"/>
        </w:rPr>
        <w:t>（2）中标通知书；</w:t>
      </w:r>
    </w:p>
    <w:p>
      <w:pPr>
        <w:pageBreakBefore w:val="0"/>
        <w:kinsoku/>
        <w:wordWrap/>
        <w:overflowPunct/>
        <w:topLinePunct w:val="0"/>
        <w:autoSpaceDE/>
        <w:autoSpaceDN/>
        <w:bidi w:val="0"/>
        <w:spacing w:line="400" w:lineRule="exact"/>
        <w:ind w:firstLine="420" w:firstLineChars="200"/>
        <w:textAlignment w:val="auto"/>
        <w:rPr>
          <w:color w:val="auto"/>
        </w:rPr>
      </w:pPr>
      <w:r>
        <w:rPr>
          <w:rFonts w:hint="eastAsia"/>
          <w:color w:val="auto"/>
        </w:rPr>
        <w:t>（3）投标函及投标函附录；</w:t>
      </w:r>
    </w:p>
    <w:p>
      <w:pPr>
        <w:pageBreakBefore w:val="0"/>
        <w:kinsoku/>
        <w:wordWrap/>
        <w:overflowPunct/>
        <w:topLinePunct w:val="0"/>
        <w:autoSpaceDE/>
        <w:autoSpaceDN/>
        <w:bidi w:val="0"/>
        <w:spacing w:line="400" w:lineRule="exact"/>
        <w:ind w:firstLine="420" w:firstLineChars="200"/>
        <w:textAlignment w:val="auto"/>
        <w:rPr>
          <w:color w:val="auto"/>
        </w:rPr>
      </w:pPr>
      <w:r>
        <w:rPr>
          <w:rFonts w:hint="eastAsia"/>
          <w:color w:val="auto"/>
        </w:rPr>
        <w:t>（4）专用合同条款；</w:t>
      </w:r>
    </w:p>
    <w:p>
      <w:pPr>
        <w:pageBreakBefore w:val="0"/>
        <w:kinsoku/>
        <w:wordWrap/>
        <w:overflowPunct/>
        <w:topLinePunct w:val="0"/>
        <w:autoSpaceDE/>
        <w:autoSpaceDN/>
        <w:bidi w:val="0"/>
        <w:spacing w:line="400" w:lineRule="exact"/>
        <w:ind w:firstLine="420" w:firstLineChars="200"/>
        <w:textAlignment w:val="auto"/>
        <w:rPr>
          <w:color w:val="auto"/>
        </w:rPr>
      </w:pPr>
      <w:r>
        <w:rPr>
          <w:rFonts w:hint="eastAsia"/>
          <w:color w:val="auto"/>
        </w:rPr>
        <w:t>（5）通用合同条款；</w:t>
      </w:r>
    </w:p>
    <w:p>
      <w:pPr>
        <w:pageBreakBefore w:val="0"/>
        <w:kinsoku/>
        <w:wordWrap/>
        <w:overflowPunct/>
        <w:topLinePunct w:val="0"/>
        <w:autoSpaceDE/>
        <w:autoSpaceDN/>
        <w:bidi w:val="0"/>
        <w:spacing w:line="400" w:lineRule="exact"/>
        <w:ind w:firstLine="420" w:firstLineChars="200"/>
        <w:textAlignment w:val="auto"/>
        <w:rPr>
          <w:color w:val="auto"/>
        </w:rPr>
      </w:pPr>
      <w:r>
        <w:rPr>
          <w:rFonts w:hint="eastAsia"/>
          <w:color w:val="auto"/>
        </w:rPr>
        <w:t>（6）技术标准和要求；</w:t>
      </w:r>
    </w:p>
    <w:p>
      <w:pPr>
        <w:pageBreakBefore w:val="0"/>
        <w:kinsoku/>
        <w:wordWrap/>
        <w:overflowPunct/>
        <w:topLinePunct w:val="0"/>
        <w:autoSpaceDE/>
        <w:autoSpaceDN/>
        <w:bidi w:val="0"/>
        <w:spacing w:line="400" w:lineRule="exact"/>
        <w:ind w:firstLine="420" w:firstLineChars="200"/>
        <w:textAlignment w:val="auto"/>
        <w:rPr>
          <w:color w:val="auto"/>
        </w:rPr>
      </w:pPr>
      <w:r>
        <w:rPr>
          <w:rFonts w:hint="eastAsia"/>
          <w:color w:val="auto"/>
        </w:rPr>
        <w:t>（7）图纸；</w:t>
      </w:r>
    </w:p>
    <w:p>
      <w:pPr>
        <w:pageBreakBefore w:val="0"/>
        <w:kinsoku/>
        <w:wordWrap/>
        <w:overflowPunct/>
        <w:topLinePunct w:val="0"/>
        <w:autoSpaceDE/>
        <w:autoSpaceDN/>
        <w:bidi w:val="0"/>
        <w:spacing w:line="400" w:lineRule="exact"/>
        <w:ind w:firstLine="420" w:firstLineChars="200"/>
        <w:textAlignment w:val="auto"/>
        <w:rPr>
          <w:color w:val="auto"/>
        </w:rPr>
      </w:pPr>
      <w:r>
        <w:rPr>
          <w:rFonts w:hint="eastAsia"/>
          <w:color w:val="auto"/>
        </w:rPr>
        <w:t>（8）已标价工程量清单；</w:t>
      </w:r>
    </w:p>
    <w:p>
      <w:pPr>
        <w:pageBreakBefore w:val="0"/>
        <w:kinsoku/>
        <w:wordWrap/>
        <w:overflowPunct/>
        <w:topLinePunct w:val="0"/>
        <w:autoSpaceDE/>
        <w:autoSpaceDN/>
        <w:bidi w:val="0"/>
        <w:spacing w:line="400" w:lineRule="exact"/>
        <w:ind w:firstLine="420" w:firstLineChars="200"/>
        <w:textAlignment w:val="auto"/>
        <w:rPr>
          <w:rFonts w:hint="eastAsia"/>
          <w:color w:val="auto"/>
        </w:rPr>
      </w:pPr>
      <w:r>
        <w:rPr>
          <w:rFonts w:hint="eastAsia"/>
          <w:color w:val="auto"/>
        </w:rPr>
        <w:t>（9）招标文件；</w:t>
      </w:r>
    </w:p>
    <w:p>
      <w:pPr>
        <w:pageBreakBefore w:val="0"/>
        <w:kinsoku/>
        <w:wordWrap/>
        <w:overflowPunct/>
        <w:topLinePunct w:val="0"/>
        <w:autoSpaceDE/>
        <w:autoSpaceDN/>
        <w:bidi w:val="0"/>
        <w:spacing w:line="400" w:lineRule="exact"/>
        <w:ind w:firstLine="420" w:firstLineChars="200"/>
        <w:textAlignment w:val="auto"/>
        <w:rPr>
          <w:rFonts w:hint="eastAsia"/>
          <w:color w:val="auto"/>
        </w:rPr>
      </w:pPr>
      <w:r>
        <w:rPr>
          <w:color w:val="auto"/>
        </w:rPr>
        <w:t>（</w:t>
      </w:r>
      <w:r>
        <w:rPr>
          <w:rFonts w:hint="eastAsia"/>
          <w:color w:val="auto"/>
        </w:rPr>
        <w:t>10</w:t>
      </w:r>
      <w:r>
        <w:rPr>
          <w:color w:val="auto"/>
        </w:rPr>
        <w:t>）投标文件</w:t>
      </w:r>
      <w:r>
        <w:rPr>
          <w:rFonts w:hint="eastAsia"/>
          <w:color w:val="auto"/>
        </w:rPr>
        <w:t>；</w:t>
      </w:r>
    </w:p>
    <w:p>
      <w:pPr>
        <w:pageBreakBefore w:val="0"/>
        <w:kinsoku/>
        <w:wordWrap/>
        <w:overflowPunct/>
        <w:topLinePunct w:val="0"/>
        <w:autoSpaceDE/>
        <w:autoSpaceDN/>
        <w:bidi w:val="0"/>
        <w:spacing w:line="400" w:lineRule="exact"/>
        <w:ind w:firstLine="420" w:firstLineChars="200"/>
        <w:textAlignment w:val="auto"/>
        <w:rPr>
          <w:rFonts w:hint="eastAsia"/>
          <w:color w:val="auto"/>
        </w:rPr>
      </w:pPr>
      <w:r>
        <w:rPr>
          <w:rFonts w:hint="eastAsia"/>
          <w:color w:val="auto"/>
        </w:rPr>
        <w:t>（11）工程质量保修书；</w:t>
      </w:r>
    </w:p>
    <w:p>
      <w:pPr>
        <w:pageBreakBefore w:val="0"/>
        <w:kinsoku/>
        <w:wordWrap/>
        <w:overflowPunct/>
        <w:topLinePunct w:val="0"/>
        <w:autoSpaceDE/>
        <w:autoSpaceDN/>
        <w:bidi w:val="0"/>
        <w:spacing w:line="400" w:lineRule="exact"/>
        <w:ind w:firstLine="420" w:firstLineChars="200"/>
        <w:textAlignment w:val="auto"/>
        <w:rPr>
          <w:color w:val="auto"/>
        </w:rPr>
      </w:pPr>
      <w:r>
        <w:rPr>
          <w:rFonts w:hint="eastAsia"/>
          <w:color w:val="auto"/>
        </w:rPr>
        <w:t>（12）建设工程廉政责任书；</w:t>
      </w:r>
    </w:p>
    <w:p>
      <w:pPr>
        <w:pageBreakBefore w:val="0"/>
        <w:kinsoku/>
        <w:wordWrap/>
        <w:overflowPunct/>
        <w:topLinePunct w:val="0"/>
        <w:autoSpaceDE/>
        <w:autoSpaceDN/>
        <w:bidi w:val="0"/>
        <w:spacing w:line="400" w:lineRule="exact"/>
        <w:ind w:firstLine="420" w:firstLineChars="200"/>
        <w:textAlignment w:val="auto"/>
        <w:rPr>
          <w:rFonts w:hint="eastAsia"/>
          <w:color w:val="auto"/>
        </w:rPr>
      </w:pPr>
      <w:r>
        <w:rPr>
          <w:rFonts w:hint="eastAsia"/>
          <w:color w:val="auto"/>
        </w:rPr>
        <w:t>（13）其他合同文件。</w:t>
      </w:r>
    </w:p>
    <w:p>
      <w:pPr>
        <w:pageBreakBefore w:val="0"/>
        <w:kinsoku/>
        <w:wordWrap/>
        <w:overflowPunct/>
        <w:topLinePunct w:val="0"/>
        <w:autoSpaceDE/>
        <w:autoSpaceDN/>
        <w:bidi w:val="0"/>
        <w:spacing w:line="400" w:lineRule="exact"/>
        <w:ind w:firstLine="420" w:firstLineChars="200"/>
        <w:textAlignment w:val="auto"/>
        <w:rPr>
          <w:rFonts w:hint="eastAsia"/>
          <w:color w:val="auto"/>
        </w:rPr>
      </w:pPr>
      <w:r>
        <w:rPr>
          <w:rFonts w:hint="eastAsia" w:ascii="宋体" w:hAnsi="宋体"/>
          <w:color w:val="auto"/>
        </w:rPr>
        <w:t>上述文件互相补充和解释，如有不明确或不一致之处，以合同约定次序在先者为准。</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1.5  合同生效的条件</w:t>
      </w:r>
    </w:p>
    <w:p>
      <w:pPr>
        <w:pageBreakBefore w:val="0"/>
        <w:kinsoku/>
        <w:wordWrap/>
        <w:overflowPunct/>
        <w:topLinePunct w:val="0"/>
        <w:autoSpaceDE/>
        <w:autoSpaceDN/>
        <w:bidi w:val="0"/>
        <w:spacing w:line="400" w:lineRule="exact"/>
        <w:ind w:firstLine="411" w:firstLineChars="196"/>
        <w:textAlignment w:val="auto"/>
        <w:rPr>
          <w:rFonts w:hint="eastAsia"/>
          <w:b/>
          <w:color w:val="auto"/>
        </w:rPr>
      </w:pPr>
      <w:r>
        <w:rPr>
          <w:rFonts w:hint="eastAsia" w:ascii="宋体" w:hAnsi="宋体" w:cs="宋体"/>
          <w:snapToGrid w:val="0"/>
          <w:color w:val="auto"/>
          <w:szCs w:val="21"/>
        </w:rPr>
        <w:t>合同生效的条件：</w:t>
      </w:r>
      <w:r>
        <w:rPr>
          <w:rFonts w:hint="eastAsia" w:ascii="宋体" w:hAnsi="宋体" w:cs="宋体"/>
          <w:b/>
          <w:color w:val="auto"/>
          <w:szCs w:val="21"/>
          <w:u w:val="single"/>
        </w:rPr>
        <w:t>承包人向发包人支付了履约保证金后，经双方法定代表人签字并盖公章后生效。在双方履行完本合同约定的各自的权利和义务后自动失效。</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1.6  图纸和承包人文件</w:t>
      </w:r>
    </w:p>
    <w:p>
      <w:pPr>
        <w:pageBreakBefore w:val="0"/>
        <w:kinsoku/>
        <w:wordWrap/>
        <w:overflowPunct/>
        <w:topLinePunct w:val="0"/>
        <w:autoSpaceDE/>
        <w:autoSpaceDN/>
        <w:bidi w:val="0"/>
        <w:spacing w:line="400" w:lineRule="exact"/>
        <w:ind w:firstLine="420" w:firstLineChars="200"/>
        <w:textAlignment w:val="auto"/>
        <w:rPr>
          <w:rFonts w:hint="eastAsia"/>
          <w:b/>
          <w:color w:val="auto"/>
          <w:u w:val="single"/>
        </w:rPr>
      </w:pPr>
      <w:r>
        <w:rPr>
          <w:rFonts w:hint="eastAsia"/>
          <w:color w:val="auto"/>
        </w:rPr>
        <w:t>1.6.1  发包人提供图纸的期限、数量：</w:t>
      </w:r>
      <w:r>
        <w:rPr>
          <w:rFonts w:hint="eastAsia"/>
          <w:b/>
          <w:color w:val="auto"/>
          <w:u w:val="single"/>
        </w:rPr>
        <w:t>签订合同后3日内，由发包人提供2套图纸，如果承包人要求增加所提供图纸套数，费用由承包人承担；</w:t>
      </w:r>
    </w:p>
    <w:p>
      <w:pPr>
        <w:pageBreakBefore w:val="0"/>
        <w:kinsoku/>
        <w:wordWrap/>
        <w:overflowPunct/>
        <w:topLinePunct w:val="0"/>
        <w:autoSpaceDE/>
        <w:autoSpaceDN/>
        <w:bidi w:val="0"/>
        <w:spacing w:line="400" w:lineRule="exact"/>
        <w:ind w:firstLine="420" w:firstLineChars="200"/>
        <w:textAlignment w:val="auto"/>
        <w:rPr>
          <w:rFonts w:hint="eastAsia"/>
          <w:b/>
          <w:color w:val="auto"/>
          <w:u w:val="single"/>
        </w:rPr>
      </w:pPr>
      <w:r>
        <w:rPr>
          <w:rFonts w:hint="eastAsia"/>
          <w:color w:val="auto"/>
        </w:rPr>
        <w:t>1.6.2  承包人提供的文件范围：</w:t>
      </w:r>
      <w:r>
        <w:rPr>
          <w:rFonts w:hint="eastAsia"/>
          <w:b/>
          <w:color w:val="auto"/>
          <w:u w:val="single"/>
        </w:rPr>
        <w:t xml:space="preserve"> 施工组织设计和进度计划、专项施工方案、安全应急方案、施工扬尘专项控制方案以及按发包人要求提供的其他相关资料（含电子文档）。</w:t>
      </w:r>
    </w:p>
    <w:p>
      <w:pPr>
        <w:pageBreakBefore w:val="0"/>
        <w:kinsoku/>
        <w:wordWrap/>
        <w:overflowPunct/>
        <w:topLinePunct w:val="0"/>
        <w:autoSpaceDE/>
        <w:autoSpaceDN/>
        <w:bidi w:val="0"/>
        <w:spacing w:line="400" w:lineRule="exact"/>
        <w:ind w:firstLine="435"/>
        <w:textAlignment w:val="auto"/>
        <w:rPr>
          <w:rFonts w:hint="eastAsia" w:ascii="宋体" w:hAnsi="宋体"/>
          <w:b/>
          <w:color w:val="auto"/>
          <w:szCs w:val="21"/>
          <w:u w:val="single"/>
        </w:rPr>
      </w:pPr>
      <w:r>
        <w:rPr>
          <w:rFonts w:hint="eastAsia"/>
          <w:color w:val="auto"/>
        </w:rPr>
        <w:t>承包人提供文件的期限、数量：</w:t>
      </w:r>
      <w:r>
        <w:rPr>
          <w:rFonts w:hint="eastAsia" w:ascii="宋体" w:hAnsi="宋体"/>
          <w:b/>
          <w:color w:val="auto"/>
          <w:szCs w:val="21"/>
          <w:u w:val="single"/>
        </w:rPr>
        <w:t>图纸会审交底后并在距开工令发出7天前，提供一式4套。</w:t>
      </w:r>
    </w:p>
    <w:p>
      <w:pPr>
        <w:pageBreakBefore w:val="0"/>
        <w:kinsoku/>
        <w:wordWrap/>
        <w:overflowPunct/>
        <w:topLinePunct w:val="0"/>
        <w:autoSpaceDE/>
        <w:autoSpaceDN/>
        <w:bidi w:val="0"/>
        <w:spacing w:line="400" w:lineRule="exact"/>
        <w:ind w:firstLine="435"/>
        <w:textAlignment w:val="auto"/>
        <w:rPr>
          <w:rFonts w:hint="eastAsia"/>
          <w:color w:val="auto"/>
        </w:rPr>
      </w:pPr>
      <w:r>
        <w:rPr>
          <w:rFonts w:hint="eastAsia"/>
          <w:color w:val="auto"/>
        </w:rPr>
        <w:t>监理人批复承包人提供文件的期限：</w:t>
      </w:r>
      <w:r>
        <w:rPr>
          <w:rFonts w:hint="eastAsia"/>
          <w:b/>
          <w:color w:val="auto"/>
          <w:u w:val="single"/>
        </w:rPr>
        <w:t>开工前7天。</w:t>
      </w:r>
    </w:p>
    <w:p>
      <w:pPr>
        <w:pageBreakBefore w:val="0"/>
        <w:kinsoku/>
        <w:wordWrap/>
        <w:overflowPunct/>
        <w:topLinePunct w:val="0"/>
        <w:autoSpaceDE/>
        <w:autoSpaceDN/>
        <w:bidi w:val="0"/>
        <w:spacing w:line="400" w:lineRule="exact"/>
        <w:ind w:firstLine="435"/>
        <w:textAlignment w:val="auto"/>
        <w:rPr>
          <w:rFonts w:hint="eastAsia"/>
          <w:color w:val="auto"/>
        </w:rPr>
      </w:pPr>
      <w:r>
        <w:rPr>
          <w:rFonts w:hint="eastAsia"/>
          <w:color w:val="auto"/>
        </w:rPr>
        <w:t>1.6.3  监理签发图纸修改的期限：</w:t>
      </w:r>
      <w:r>
        <w:rPr>
          <w:rFonts w:hint="eastAsia"/>
          <w:b/>
          <w:color w:val="auto"/>
          <w:u w:val="single"/>
        </w:rPr>
        <w:t xml:space="preserve"> 在该工程或工程部位施工前 7天。</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1.7  联络</w:t>
      </w:r>
    </w:p>
    <w:p>
      <w:pPr>
        <w:pageBreakBefore w:val="0"/>
        <w:kinsoku/>
        <w:wordWrap/>
        <w:overflowPunct/>
        <w:topLinePunct w:val="0"/>
        <w:autoSpaceDE/>
        <w:autoSpaceDN/>
        <w:bidi w:val="0"/>
        <w:spacing w:line="400" w:lineRule="exact"/>
        <w:ind w:firstLine="420" w:firstLineChars="200"/>
        <w:textAlignment w:val="auto"/>
        <w:rPr>
          <w:rFonts w:hint="eastAsia"/>
          <w:color w:val="auto"/>
        </w:rPr>
      </w:pPr>
      <w:r>
        <w:rPr>
          <w:rFonts w:hint="eastAsia"/>
          <w:color w:val="auto"/>
        </w:rPr>
        <w:t>1.7.2  联络送达的期限：</w:t>
      </w:r>
      <w:r>
        <w:rPr>
          <w:rFonts w:hint="eastAsia"/>
          <w:b/>
          <w:color w:val="auto"/>
          <w:u w:val="single"/>
        </w:rPr>
        <w:t xml:space="preserve">各类文件在正式签发后，1天内现场送达项目代表，并办理签收手续。 </w:t>
      </w:r>
      <w:r>
        <w:rPr>
          <w:rFonts w:hint="eastAsia"/>
          <w:color w:val="auto"/>
        </w:rPr>
        <w:t xml:space="preserve"> </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2.  发包人义务</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2.3  提供施工场地</w:t>
      </w:r>
    </w:p>
    <w:p>
      <w:pPr>
        <w:pageBreakBefore w:val="0"/>
        <w:kinsoku/>
        <w:wordWrap/>
        <w:overflowPunct/>
        <w:topLinePunct w:val="0"/>
        <w:autoSpaceDE/>
        <w:autoSpaceDN/>
        <w:bidi w:val="0"/>
        <w:spacing w:line="400" w:lineRule="exact"/>
        <w:ind w:firstLine="411" w:firstLineChars="196"/>
        <w:textAlignment w:val="auto"/>
        <w:rPr>
          <w:rFonts w:hint="eastAsia"/>
          <w:b/>
          <w:color w:val="auto"/>
        </w:rPr>
      </w:pPr>
      <w:r>
        <w:rPr>
          <w:rFonts w:hint="eastAsia"/>
          <w:color w:val="auto"/>
        </w:rPr>
        <w:t>发包人提供施工场地和有关资料的时间：</w:t>
      </w:r>
      <w:r>
        <w:rPr>
          <w:rFonts w:hint="eastAsia"/>
          <w:b/>
          <w:color w:val="auto"/>
          <w:u w:val="single"/>
        </w:rPr>
        <w:t xml:space="preserve">合同签订后7日内。 </w:t>
      </w:r>
      <w:r>
        <w:rPr>
          <w:rFonts w:hint="eastAsia"/>
          <w:color w:val="auto"/>
        </w:rPr>
        <w:t xml:space="preserve">   </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2.8  其他义务</w:t>
      </w:r>
    </w:p>
    <w:p>
      <w:pPr>
        <w:pageBreakBefore w:val="0"/>
        <w:kinsoku/>
        <w:wordWrap/>
        <w:overflowPunct/>
        <w:topLinePunct w:val="0"/>
        <w:autoSpaceDE/>
        <w:autoSpaceDN/>
        <w:bidi w:val="0"/>
        <w:spacing w:line="400" w:lineRule="exact"/>
        <w:ind w:firstLine="420" w:firstLineChars="200"/>
        <w:textAlignment w:val="auto"/>
        <w:rPr>
          <w:rFonts w:hint="eastAsia"/>
          <w:color w:val="auto"/>
        </w:rPr>
      </w:pPr>
      <w:r>
        <w:rPr>
          <w:rFonts w:hint="eastAsia"/>
          <w:color w:val="auto"/>
        </w:rPr>
        <w:t>发包人应按约定的时间和要求完成以下工作</w:t>
      </w:r>
      <w:r>
        <w:rPr>
          <w:rFonts w:hint="eastAsia"/>
          <w:color w:val="auto"/>
          <w:lang w:eastAsia="zh-CN"/>
        </w:rPr>
        <w:t>：</w:t>
      </w:r>
    </w:p>
    <w:p>
      <w:pPr>
        <w:pageBreakBefore w:val="0"/>
        <w:kinsoku/>
        <w:wordWrap/>
        <w:overflowPunct/>
        <w:topLinePunct w:val="0"/>
        <w:autoSpaceDE/>
        <w:autoSpaceDN/>
        <w:bidi w:val="0"/>
        <w:spacing w:line="400" w:lineRule="exact"/>
        <w:ind w:firstLine="420" w:firstLineChars="200"/>
        <w:textAlignment w:val="auto"/>
        <w:rPr>
          <w:rFonts w:hint="eastAsia"/>
          <w:color w:val="auto"/>
        </w:rPr>
      </w:pPr>
      <w:r>
        <w:rPr>
          <w:rFonts w:hint="eastAsia"/>
          <w:color w:val="auto"/>
        </w:rPr>
        <w:t>2.8.1施工场地具备施工条件的要求及完成的时间</w:t>
      </w:r>
      <w:r>
        <w:rPr>
          <w:rFonts w:hint="eastAsia"/>
          <w:color w:val="auto"/>
          <w:lang w:eastAsia="zh-CN"/>
        </w:rPr>
        <w:t>：</w:t>
      </w:r>
      <w:r>
        <w:rPr>
          <w:rFonts w:hint="eastAsia"/>
          <w:color w:val="auto"/>
        </w:rPr>
        <w:t xml:space="preserve"> </w:t>
      </w:r>
      <w:r>
        <w:rPr>
          <w:rFonts w:hint="eastAsia"/>
          <w:b/>
          <w:color w:val="auto"/>
          <w:u w:val="single"/>
        </w:rPr>
        <w:t>以现状为准</w:t>
      </w:r>
      <w:r>
        <w:rPr>
          <w:rFonts w:hint="eastAsia"/>
          <w:color w:val="auto"/>
        </w:rPr>
        <w:t>。</w:t>
      </w:r>
    </w:p>
    <w:p>
      <w:pPr>
        <w:pageBreakBefore w:val="0"/>
        <w:kinsoku/>
        <w:wordWrap/>
        <w:overflowPunct/>
        <w:topLinePunct w:val="0"/>
        <w:autoSpaceDE/>
        <w:autoSpaceDN/>
        <w:bidi w:val="0"/>
        <w:spacing w:line="400" w:lineRule="exact"/>
        <w:ind w:firstLine="420" w:firstLineChars="200"/>
        <w:textAlignment w:val="auto"/>
        <w:rPr>
          <w:rFonts w:hint="eastAsia"/>
          <w:color w:val="auto"/>
        </w:rPr>
      </w:pPr>
      <w:r>
        <w:rPr>
          <w:rFonts w:hint="eastAsia"/>
          <w:color w:val="auto"/>
        </w:rPr>
        <w:t>2.8.2将施工所需的水、电、电讯线路接至施工场地的时间、地点和供应要求</w:t>
      </w:r>
      <w:r>
        <w:rPr>
          <w:rFonts w:hint="eastAsia"/>
          <w:color w:val="auto"/>
          <w:lang w:eastAsia="zh-CN"/>
        </w:rPr>
        <w:t>：</w:t>
      </w:r>
      <w:r>
        <w:rPr>
          <w:rFonts w:hint="eastAsia"/>
          <w:b/>
          <w:color w:val="auto"/>
          <w:u w:val="single"/>
        </w:rPr>
        <w:t>发包人解决施工用电、用水接口，并承担相应费用；接口后由承包人自行搭接、并装表计量，并承担相应费用；施工所需的电讯线路由承包人自行解决。</w:t>
      </w:r>
    </w:p>
    <w:p>
      <w:pPr>
        <w:pageBreakBefore w:val="0"/>
        <w:kinsoku/>
        <w:wordWrap/>
        <w:overflowPunct/>
        <w:topLinePunct w:val="0"/>
        <w:autoSpaceDE/>
        <w:autoSpaceDN/>
        <w:bidi w:val="0"/>
        <w:spacing w:line="400" w:lineRule="exact"/>
        <w:ind w:firstLine="420" w:firstLineChars="200"/>
        <w:textAlignment w:val="auto"/>
        <w:rPr>
          <w:rFonts w:hint="eastAsia"/>
          <w:color w:val="auto"/>
        </w:rPr>
      </w:pPr>
      <w:r>
        <w:rPr>
          <w:rFonts w:hint="eastAsia"/>
          <w:color w:val="auto"/>
        </w:rPr>
        <w:t>2.8.3施工场地与公共道路的通道开通时间和要求</w:t>
      </w:r>
      <w:r>
        <w:rPr>
          <w:rFonts w:hint="eastAsia"/>
          <w:color w:val="auto"/>
          <w:lang w:eastAsia="zh-CN"/>
        </w:rPr>
        <w:t>：</w:t>
      </w:r>
      <w:r>
        <w:rPr>
          <w:rFonts w:hint="eastAsia"/>
          <w:color w:val="auto"/>
        </w:rPr>
        <w:t xml:space="preserve"> </w:t>
      </w:r>
      <w:r>
        <w:rPr>
          <w:rFonts w:hint="eastAsia"/>
          <w:b/>
          <w:color w:val="auto"/>
          <w:u w:val="single"/>
        </w:rPr>
        <w:t>施工场地与公共道路的通道以现状为准</w:t>
      </w:r>
      <w:r>
        <w:rPr>
          <w:rFonts w:hint="eastAsia"/>
          <w:b/>
          <w:color w:val="auto"/>
        </w:rPr>
        <w:t>。</w:t>
      </w:r>
    </w:p>
    <w:p>
      <w:pPr>
        <w:pageBreakBefore w:val="0"/>
        <w:kinsoku/>
        <w:wordWrap/>
        <w:overflowPunct/>
        <w:topLinePunct w:val="0"/>
        <w:autoSpaceDE/>
        <w:autoSpaceDN/>
        <w:bidi w:val="0"/>
        <w:spacing w:line="400" w:lineRule="exact"/>
        <w:ind w:firstLine="420" w:firstLineChars="200"/>
        <w:textAlignment w:val="auto"/>
        <w:rPr>
          <w:rFonts w:hint="eastAsia"/>
          <w:b/>
          <w:color w:val="auto"/>
          <w:u w:val="single"/>
        </w:rPr>
      </w:pPr>
      <w:r>
        <w:rPr>
          <w:rFonts w:hint="eastAsia"/>
          <w:color w:val="auto"/>
        </w:rPr>
        <w:t>2.8.4由发包人办理的施工所需证件、批件的名称和完成时间</w:t>
      </w:r>
      <w:r>
        <w:rPr>
          <w:rFonts w:hint="eastAsia"/>
          <w:color w:val="auto"/>
          <w:lang w:eastAsia="zh-CN"/>
        </w:rPr>
        <w:t>：</w:t>
      </w:r>
      <w:r>
        <w:rPr>
          <w:rFonts w:hint="eastAsia"/>
          <w:color w:val="auto"/>
        </w:rPr>
        <w:t xml:space="preserve"> </w:t>
      </w:r>
      <w:r>
        <w:rPr>
          <w:rFonts w:hint="eastAsia"/>
          <w:b/>
          <w:color w:val="auto"/>
          <w:u w:val="single"/>
        </w:rPr>
        <w:t>合同签订后，发包人在开工前依法办理施工许可证等相关建设手续。</w:t>
      </w:r>
    </w:p>
    <w:p>
      <w:pPr>
        <w:pageBreakBefore w:val="0"/>
        <w:kinsoku/>
        <w:wordWrap/>
        <w:overflowPunct/>
        <w:topLinePunct w:val="0"/>
        <w:autoSpaceDE/>
        <w:autoSpaceDN/>
        <w:bidi w:val="0"/>
        <w:spacing w:line="400" w:lineRule="exact"/>
        <w:ind w:firstLine="420" w:firstLineChars="200"/>
        <w:textAlignment w:val="auto"/>
        <w:rPr>
          <w:rFonts w:hint="eastAsia"/>
          <w:color w:val="auto"/>
        </w:rPr>
      </w:pPr>
      <w:r>
        <w:rPr>
          <w:rFonts w:hint="eastAsia"/>
          <w:color w:val="auto"/>
        </w:rPr>
        <w:t>2.8.5水准点与座标控制点交验要求</w:t>
      </w:r>
      <w:r>
        <w:rPr>
          <w:rFonts w:hint="eastAsia"/>
          <w:color w:val="auto"/>
          <w:lang w:eastAsia="zh-CN"/>
        </w:rPr>
        <w:t>：</w:t>
      </w:r>
      <w:r>
        <w:rPr>
          <w:rFonts w:hint="eastAsia"/>
          <w:color w:val="auto"/>
        </w:rPr>
        <w:t xml:space="preserve">  </w:t>
      </w:r>
      <w:r>
        <w:rPr>
          <w:rFonts w:hint="eastAsia"/>
          <w:b/>
          <w:color w:val="auto"/>
          <w:u w:val="single"/>
        </w:rPr>
        <w:t>开工7天前发包人通过监理人以书面形式通知承包人，并组织相关单位进行现场交验，同时</w:t>
      </w:r>
      <w:r>
        <w:rPr>
          <w:rFonts w:hint="eastAsia"/>
          <w:b/>
          <w:color w:val="auto"/>
          <w:u w:val="single"/>
          <w:lang w:eastAsia="zh-CN"/>
        </w:rPr>
        <w:t>做好</w:t>
      </w:r>
      <w:r>
        <w:rPr>
          <w:rFonts w:hint="eastAsia"/>
          <w:b/>
          <w:color w:val="auto"/>
          <w:u w:val="single"/>
        </w:rPr>
        <w:t>交验记录</w:t>
      </w:r>
      <w:r>
        <w:rPr>
          <w:rFonts w:hint="eastAsia"/>
          <w:color w:val="auto"/>
        </w:rPr>
        <w:t>。</w:t>
      </w:r>
    </w:p>
    <w:p>
      <w:pPr>
        <w:pageBreakBefore w:val="0"/>
        <w:kinsoku/>
        <w:wordWrap/>
        <w:overflowPunct/>
        <w:topLinePunct w:val="0"/>
        <w:autoSpaceDE/>
        <w:autoSpaceDN/>
        <w:bidi w:val="0"/>
        <w:spacing w:line="400" w:lineRule="exact"/>
        <w:ind w:firstLine="420" w:firstLineChars="200"/>
        <w:textAlignment w:val="auto"/>
        <w:rPr>
          <w:rFonts w:hint="eastAsia"/>
          <w:color w:val="auto"/>
        </w:rPr>
      </w:pPr>
      <w:r>
        <w:rPr>
          <w:rFonts w:hint="eastAsia"/>
          <w:color w:val="auto"/>
        </w:rPr>
        <w:t>2.8.6图纸会审和设计交底时间</w:t>
      </w:r>
      <w:r>
        <w:rPr>
          <w:rFonts w:hint="eastAsia"/>
          <w:color w:val="auto"/>
          <w:lang w:eastAsia="zh-CN"/>
        </w:rPr>
        <w:t>：</w:t>
      </w:r>
      <w:r>
        <w:rPr>
          <w:rFonts w:hint="eastAsia"/>
          <w:color w:val="auto"/>
        </w:rPr>
        <w:t xml:space="preserve"> </w:t>
      </w:r>
      <w:r>
        <w:rPr>
          <w:rFonts w:hint="eastAsia"/>
          <w:b/>
          <w:color w:val="auto"/>
          <w:u w:val="single"/>
        </w:rPr>
        <w:t>开工前7天。</w:t>
      </w:r>
    </w:p>
    <w:p>
      <w:pPr>
        <w:pageBreakBefore w:val="0"/>
        <w:kinsoku/>
        <w:wordWrap/>
        <w:overflowPunct/>
        <w:topLinePunct w:val="0"/>
        <w:autoSpaceDE/>
        <w:autoSpaceDN/>
        <w:bidi w:val="0"/>
        <w:spacing w:line="400" w:lineRule="exact"/>
        <w:ind w:firstLine="420" w:firstLineChars="200"/>
        <w:textAlignment w:val="auto"/>
        <w:rPr>
          <w:rFonts w:hint="eastAsia"/>
          <w:color w:val="auto"/>
        </w:rPr>
      </w:pPr>
      <w:r>
        <w:rPr>
          <w:rFonts w:hint="eastAsia"/>
          <w:color w:val="auto"/>
        </w:rPr>
        <w:t>2.8.7</w:t>
      </w:r>
      <w:r>
        <w:rPr>
          <w:rFonts w:hint="eastAsia"/>
          <w:b/>
          <w:color w:val="auto"/>
          <w:u w:val="single"/>
        </w:rPr>
        <w:t>协调处理施工场地周围地下管线和邻近建筑物、构筑物（含文物保护建筑）、古树名木的保护工作。</w:t>
      </w:r>
    </w:p>
    <w:p>
      <w:pPr>
        <w:pageBreakBefore w:val="0"/>
        <w:kinsoku/>
        <w:wordWrap/>
        <w:overflowPunct/>
        <w:topLinePunct w:val="0"/>
        <w:autoSpaceDE/>
        <w:autoSpaceDN/>
        <w:bidi w:val="0"/>
        <w:spacing w:line="400" w:lineRule="exact"/>
        <w:ind w:firstLine="420" w:firstLineChars="200"/>
        <w:textAlignment w:val="auto"/>
        <w:rPr>
          <w:rFonts w:hint="eastAsia"/>
          <w:color w:val="auto"/>
        </w:rPr>
      </w:pPr>
      <w:r>
        <w:rPr>
          <w:rFonts w:hint="eastAsia"/>
          <w:color w:val="auto"/>
        </w:rPr>
        <w:t>2.8.8双方约定发包人应做的其他工作</w:t>
      </w:r>
      <w:r>
        <w:rPr>
          <w:rFonts w:hint="eastAsia"/>
          <w:color w:val="auto"/>
          <w:lang w:eastAsia="zh-CN"/>
        </w:rPr>
        <w:t>：</w:t>
      </w:r>
      <w:r>
        <w:rPr>
          <w:rFonts w:hint="eastAsia"/>
          <w:color w:val="auto"/>
        </w:rPr>
        <w:t xml:space="preserve"> </w:t>
      </w:r>
      <w:r>
        <w:rPr>
          <w:rFonts w:hint="eastAsia"/>
          <w:b/>
          <w:color w:val="auto"/>
          <w:u w:val="single"/>
        </w:rPr>
        <w:t>协助承包人处理周边关系</w:t>
      </w:r>
      <w:r>
        <w:rPr>
          <w:rFonts w:hint="eastAsia"/>
          <w:b/>
          <w:color w:val="auto"/>
        </w:rPr>
        <w:t>。</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3.  监理人</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3.1  监理人的职责和权力</w:t>
      </w:r>
    </w:p>
    <w:p>
      <w:pPr>
        <w:pageBreakBefore w:val="0"/>
        <w:kinsoku/>
        <w:wordWrap/>
        <w:overflowPunct/>
        <w:topLinePunct w:val="0"/>
        <w:autoSpaceDE/>
        <w:autoSpaceDN/>
        <w:bidi w:val="0"/>
        <w:spacing w:line="400" w:lineRule="exact"/>
        <w:ind w:firstLine="420" w:firstLineChars="200"/>
        <w:textAlignment w:val="auto"/>
        <w:rPr>
          <w:rFonts w:hint="eastAsia"/>
          <w:b/>
          <w:color w:val="auto"/>
          <w:u w:val="single"/>
        </w:rPr>
      </w:pPr>
      <w:r>
        <w:rPr>
          <w:rFonts w:hint="eastAsia"/>
          <w:color w:val="auto"/>
        </w:rPr>
        <w:t>3.1.1  发包人委托的职权</w:t>
      </w:r>
      <w:r>
        <w:rPr>
          <w:rFonts w:hint="eastAsia"/>
          <w:color w:val="auto"/>
          <w:lang w:eastAsia="zh-CN"/>
        </w:rPr>
        <w:t>：</w:t>
      </w:r>
      <w:r>
        <w:rPr>
          <w:rFonts w:hint="eastAsia"/>
          <w:color w:val="auto"/>
        </w:rPr>
        <w:t xml:space="preserve"> </w:t>
      </w:r>
      <w:r>
        <w:rPr>
          <w:rFonts w:hint="eastAsia"/>
          <w:b/>
          <w:color w:val="auto"/>
          <w:u w:val="single"/>
        </w:rPr>
        <w:t xml:space="preserve"> 代表发包人对工程质量、进度、造价进行控制，对合同和信息进行管理，对文明施工、环保和环卫进行监督，并对现场施工组织进行协调，并履行建设工程安全生产法定职责，具体以监理合同为准。</w:t>
      </w:r>
    </w:p>
    <w:p>
      <w:pPr>
        <w:pageBreakBefore w:val="0"/>
        <w:kinsoku/>
        <w:wordWrap/>
        <w:overflowPunct/>
        <w:topLinePunct w:val="0"/>
        <w:autoSpaceDE/>
        <w:autoSpaceDN/>
        <w:bidi w:val="0"/>
        <w:spacing w:line="400" w:lineRule="exact"/>
        <w:ind w:firstLine="422" w:firstLineChars="200"/>
        <w:textAlignment w:val="auto"/>
        <w:rPr>
          <w:rFonts w:hint="eastAsia"/>
          <w:b/>
          <w:color w:val="auto"/>
          <w:u w:val="single"/>
        </w:rPr>
      </w:pPr>
      <w:r>
        <w:rPr>
          <w:rFonts w:hint="eastAsia"/>
          <w:b/>
          <w:color w:val="auto"/>
          <w:u w:val="single"/>
        </w:rPr>
        <w:t>须经发包人事先批准行使的权力： 工程开工、停工、复工令的签发需经发包人同意，工期延长、材料设备认质核价、工程变更、现场签证、价款调整、工程计量与支付、索赔及与工程价款相关事宜等需经发包人核定和批准。</w:t>
      </w:r>
    </w:p>
    <w:p>
      <w:pPr>
        <w:pageBreakBefore w:val="0"/>
        <w:kinsoku/>
        <w:wordWrap/>
        <w:overflowPunct/>
        <w:topLinePunct w:val="0"/>
        <w:autoSpaceDE/>
        <w:autoSpaceDN/>
        <w:bidi w:val="0"/>
        <w:spacing w:line="400" w:lineRule="exact"/>
        <w:ind w:firstLine="420" w:firstLineChars="200"/>
        <w:textAlignment w:val="auto"/>
        <w:rPr>
          <w:rFonts w:hint="eastAsia"/>
          <w:b/>
          <w:color w:val="auto"/>
          <w:u w:val="single"/>
        </w:rPr>
      </w:pPr>
      <w:r>
        <w:rPr>
          <w:rFonts w:hint="eastAsia"/>
          <w:color w:val="auto"/>
        </w:rPr>
        <w:t>3.1.4  监理人的职责：</w:t>
      </w:r>
      <w:r>
        <w:rPr>
          <w:rFonts w:hint="eastAsia"/>
          <w:b/>
          <w:color w:val="auto"/>
          <w:u w:val="single"/>
        </w:rPr>
        <w:t>监理人按照与发包人签订的监理合同，代表发包人对工程质量、工程进度、工程造价进行控制；对文明施工、环保和环卫进行监督；对合同和信息进行管理；以及对施工现场进行协调，并履行建设工程安全生产法定职责，详见监理合同。但工程变更、工程造价的变更、工程延期等需经发包人核定。</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3.4  监理人的指示</w:t>
      </w:r>
    </w:p>
    <w:p>
      <w:pPr>
        <w:pageBreakBefore w:val="0"/>
        <w:kinsoku/>
        <w:wordWrap/>
        <w:overflowPunct/>
        <w:topLinePunct w:val="0"/>
        <w:autoSpaceDE/>
        <w:autoSpaceDN/>
        <w:bidi w:val="0"/>
        <w:spacing w:line="400" w:lineRule="exact"/>
        <w:ind w:firstLine="422" w:firstLineChars="200"/>
        <w:textAlignment w:val="auto"/>
        <w:rPr>
          <w:rFonts w:hint="eastAsia"/>
          <w:b/>
          <w:color w:val="auto"/>
        </w:rPr>
      </w:pPr>
      <w:r>
        <w:rPr>
          <w:rFonts w:hint="eastAsia"/>
          <w:b/>
          <w:color w:val="auto"/>
        </w:rPr>
        <w:t>3.4.4  如果发包人认为有必要，可直接向承包人发出指示，并抄送监理人。</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4.  承包人</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4.1  承包人的一般义务</w:t>
      </w:r>
    </w:p>
    <w:p>
      <w:pPr>
        <w:pageBreakBefore w:val="0"/>
        <w:kinsoku/>
        <w:wordWrap/>
        <w:overflowPunct/>
        <w:topLinePunct w:val="0"/>
        <w:autoSpaceDE/>
        <w:autoSpaceDN/>
        <w:bidi w:val="0"/>
        <w:spacing w:line="400" w:lineRule="exact"/>
        <w:ind w:firstLine="411" w:firstLineChars="196"/>
        <w:textAlignment w:val="auto"/>
        <w:rPr>
          <w:rFonts w:hint="eastAsia"/>
          <w:b/>
          <w:color w:val="auto"/>
        </w:rPr>
      </w:pPr>
      <w:r>
        <w:rPr>
          <w:rFonts w:hint="eastAsia"/>
          <w:color w:val="auto"/>
        </w:rPr>
        <w:t>4.1.8 为他人提供方便</w:t>
      </w:r>
    </w:p>
    <w:p>
      <w:pPr>
        <w:pageBreakBefore w:val="0"/>
        <w:kinsoku/>
        <w:wordWrap/>
        <w:overflowPunct/>
        <w:topLinePunct w:val="0"/>
        <w:autoSpaceDE/>
        <w:autoSpaceDN/>
        <w:bidi w:val="0"/>
        <w:spacing w:line="400" w:lineRule="exact"/>
        <w:ind w:firstLine="411" w:firstLineChars="196"/>
        <w:textAlignment w:val="auto"/>
        <w:rPr>
          <w:rFonts w:hint="eastAsia"/>
          <w:b/>
          <w:color w:val="auto"/>
        </w:rPr>
      </w:pPr>
      <w:r>
        <w:rPr>
          <w:rFonts w:hint="eastAsia"/>
          <w:color w:val="auto"/>
        </w:rPr>
        <w:t>承包人为他人提供条件的内容：</w:t>
      </w:r>
      <w:r>
        <w:rPr>
          <w:rFonts w:hint="eastAsia"/>
          <w:b/>
          <w:color w:val="auto"/>
          <w:u w:val="single"/>
        </w:rPr>
        <w:t>有义务积极配合和协调其他承包人及供货商工作，如提供施工场地、临时设施场地、水电接口、施工道路、控制点和标高，并进行现场协调管理等。如果承包人不积极配合和协调其他承包人及供货商的工作而造成工期延误或给发包人造成损失的，由承包人负责承担由此带来的一切损失。</w:t>
      </w:r>
    </w:p>
    <w:p>
      <w:pPr>
        <w:pageBreakBefore w:val="0"/>
        <w:kinsoku/>
        <w:wordWrap/>
        <w:overflowPunct/>
        <w:topLinePunct w:val="0"/>
        <w:autoSpaceDE/>
        <w:autoSpaceDN/>
        <w:bidi w:val="0"/>
        <w:spacing w:line="400" w:lineRule="exact"/>
        <w:ind w:firstLine="411" w:firstLineChars="196"/>
        <w:textAlignment w:val="auto"/>
        <w:rPr>
          <w:rFonts w:hint="eastAsia"/>
          <w:b/>
          <w:color w:val="auto"/>
        </w:rPr>
      </w:pPr>
      <w:r>
        <w:rPr>
          <w:rFonts w:hint="eastAsia"/>
          <w:color w:val="auto"/>
        </w:rPr>
        <w:t>向发包人提供的办公和生活房屋及设施的要求：</w:t>
      </w:r>
      <w:r>
        <w:rPr>
          <w:rFonts w:hint="eastAsia"/>
          <w:b/>
          <w:color w:val="auto"/>
          <w:u w:val="single"/>
        </w:rPr>
        <w:t>向发包人、监理单位提供现场办公室</w:t>
      </w:r>
      <w:r>
        <w:rPr>
          <w:rFonts w:hint="eastAsia"/>
          <w:b/>
          <w:color w:val="auto"/>
        </w:rPr>
        <w:t>。</w:t>
      </w:r>
    </w:p>
    <w:p>
      <w:pPr>
        <w:pageBreakBefore w:val="0"/>
        <w:kinsoku/>
        <w:wordWrap/>
        <w:overflowPunct/>
        <w:topLinePunct w:val="0"/>
        <w:autoSpaceDE/>
        <w:autoSpaceDN/>
        <w:bidi w:val="0"/>
        <w:spacing w:line="400" w:lineRule="exact"/>
        <w:ind w:firstLine="411" w:firstLineChars="196"/>
        <w:textAlignment w:val="auto"/>
        <w:rPr>
          <w:rFonts w:hint="eastAsia"/>
          <w:b/>
          <w:color w:val="auto"/>
        </w:rPr>
      </w:pPr>
      <w:r>
        <w:rPr>
          <w:rFonts w:hint="eastAsia"/>
          <w:color w:val="auto"/>
        </w:rPr>
        <w:t>费用的处理方法：</w:t>
      </w:r>
      <w:r>
        <w:rPr>
          <w:rFonts w:hint="eastAsia"/>
          <w:b/>
          <w:color w:val="auto"/>
          <w:u w:val="single"/>
        </w:rPr>
        <w:t>费用已含在投标报价中，不作调整。</w:t>
      </w:r>
    </w:p>
    <w:p>
      <w:pPr>
        <w:pageBreakBefore w:val="0"/>
        <w:kinsoku/>
        <w:wordWrap/>
        <w:overflowPunct/>
        <w:topLinePunct w:val="0"/>
        <w:autoSpaceDE/>
        <w:autoSpaceDN/>
        <w:bidi w:val="0"/>
        <w:spacing w:line="400" w:lineRule="exact"/>
        <w:ind w:firstLine="411" w:firstLineChars="196"/>
        <w:textAlignment w:val="auto"/>
        <w:rPr>
          <w:rFonts w:hint="eastAsia"/>
          <w:b/>
          <w:color w:val="auto"/>
        </w:rPr>
      </w:pPr>
      <w:r>
        <w:rPr>
          <w:rFonts w:hint="eastAsia"/>
          <w:color w:val="auto"/>
        </w:rPr>
        <w:t>4.1.10 其他义务</w:t>
      </w:r>
    </w:p>
    <w:p>
      <w:pPr>
        <w:pageBreakBefore w:val="0"/>
        <w:kinsoku/>
        <w:wordWrap/>
        <w:overflowPunct/>
        <w:topLinePunct w:val="0"/>
        <w:autoSpaceDE/>
        <w:autoSpaceDN/>
        <w:bidi w:val="0"/>
        <w:spacing w:line="400" w:lineRule="exact"/>
        <w:ind w:firstLine="413" w:firstLineChars="196"/>
        <w:textAlignment w:val="auto"/>
        <w:rPr>
          <w:rFonts w:hint="eastAsia"/>
          <w:b/>
          <w:color w:val="auto"/>
        </w:rPr>
      </w:pPr>
      <w:r>
        <w:rPr>
          <w:rFonts w:hint="eastAsia"/>
          <w:b/>
          <w:color w:val="auto"/>
          <w:u w:val="single"/>
        </w:rPr>
        <w:t>（1）按照国家有关安全生产、文明施工、环境保护的法律、行政法规、部门规章，以及重庆市有关安全生产、文明施工、环境保护的地方性法规、规章和规范性文件要求进行工程安全生产、文明施工和环境保护 。</w:t>
      </w:r>
    </w:p>
    <w:p>
      <w:pPr>
        <w:pageBreakBefore w:val="0"/>
        <w:kinsoku/>
        <w:wordWrap/>
        <w:overflowPunct/>
        <w:topLinePunct w:val="0"/>
        <w:autoSpaceDE/>
        <w:autoSpaceDN/>
        <w:bidi w:val="0"/>
        <w:spacing w:line="400" w:lineRule="exact"/>
        <w:ind w:firstLine="413" w:firstLineChars="196"/>
        <w:textAlignment w:val="auto"/>
        <w:rPr>
          <w:rFonts w:hint="eastAsia"/>
          <w:b/>
          <w:color w:val="auto"/>
        </w:rPr>
      </w:pPr>
      <w:r>
        <w:rPr>
          <w:rFonts w:hint="eastAsia"/>
          <w:b/>
          <w:color w:val="auto"/>
          <w:u w:val="single"/>
        </w:rPr>
        <w:t>（2）负责施工所产生的所有余土、建筑和生活垃圾的外运和倾倒，并严格按有关规定执行。如果承包人不按规定执行，发包人有权另行委托符合条件单位或个人实施，费用从工程款直接扣支。</w:t>
      </w:r>
    </w:p>
    <w:p>
      <w:pPr>
        <w:pageBreakBefore w:val="0"/>
        <w:kinsoku/>
        <w:wordWrap/>
        <w:overflowPunct/>
        <w:topLinePunct w:val="0"/>
        <w:autoSpaceDE/>
        <w:autoSpaceDN/>
        <w:bidi w:val="0"/>
        <w:spacing w:line="400" w:lineRule="exact"/>
        <w:ind w:firstLine="413" w:firstLineChars="196"/>
        <w:textAlignment w:val="auto"/>
        <w:rPr>
          <w:rFonts w:hint="eastAsia"/>
          <w:b/>
          <w:color w:val="auto"/>
        </w:rPr>
      </w:pPr>
      <w:r>
        <w:rPr>
          <w:rFonts w:hint="eastAsia"/>
          <w:b/>
          <w:color w:val="auto"/>
          <w:u w:val="single"/>
        </w:rPr>
        <w:t>（3）根据工程需要，提供施工使用的所有照明、围栏设施，由此所发生的费用由承包人承担。</w:t>
      </w:r>
    </w:p>
    <w:p>
      <w:pPr>
        <w:pageBreakBefore w:val="0"/>
        <w:kinsoku/>
        <w:wordWrap/>
        <w:overflowPunct/>
        <w:topLinePunct w:val="0"/>
        <w:autoSpaceDE/>
        <w:autoSpaceDN/>
        <w:bidi w:val="0"/>
        <w:spacing w:line="400" w:lineRule="exact"/>
        <w:ind w:firstLine="413" w:firstLineChars="196"/>
        <w:textAlignment w:val="auto"/>
        <w:rPr>
          <w:rFonts w:hint="eastAsia"/>
          <w:b/>
          <w:color w:val="auto"/>
        </w:rPr>
      </w:pPr>
      <w:r>
        <w:rPr>
          <w:rFonts w:hint="eastAsia"/>
          <w:b/>
          <w:color w:val="auto"/>
          <w:u w:val="single"/>
        </w:rPr>
        <w:t>（4）负责做好施工场地和周围地上及地下管线、道路、桥梁、给排水管网、邻近建筑物、构筑物、文物、青苗、古树名木等保护工作。如果因承包人的原因造成损坏，由此造成的法律责任及产生的一切费用由承包人自行承担。</w:t>
      </w:r>
    </w:p>
    <w:p>
      <w:pPr>
        <w:pageBreakBefore w:val="0"/>
        <w:kinsoku/>
        <w:wordWrap/>
        <w:overflowPunct/>
        <w:topLinePunct w:val="0"/>
        <w:autoSpaceDE/>
        <w:autoSpaceDN/>
        <w:bidi w:val="0"/>
        <w:spacing w:line="400" w:lineRule="exact"/>
        <w:ind w:firstLine="413" w:firstLineChars="196"/>
        <w:textAlignment w:val="auto"/>
        <w:rPr>
          <w:rFonts w:hint="eastAsia"/>
          <w:b/>
          <w:color w:val="auto"/>
        </w:rPr>
      </w:pPr>
      <w:r>
        <w:rPr>
          <w:rFonts w:hint="eastAsia"/>
          <w:b/>
          <w:color w:val="auto"/>
          <w:u w:val="single"/>
        </w:rPr>
        <w:t>（5）按重庆市政府有关主管部门（包括建设、交通、消防、环保等）的规定办理施工中所需相关手续（如临时用地、占道、爆破、夜间施工等），由此所发生的费用已进入投标报价内。</w:t>
      </w:r>
    </w:p>
    <w:p>
      <w:pPr>
        <w:pageBreakBefore w:val="0"/>
        <w:kinsoku/>
        <w:wordWrap/>
        <w:overflowPunct/>
        <w:topLinePunct w:val="0"/>
        <w:autoSpaceDE/>
        <w:autoSpaceDN/>
        <w:bidi w:val="0"/>
        <w:spacing w:line="400" w:lineRule="exact"/>
        <w:ind w:firstLine="413" w:firstLineChars="196"/>
        <w:textAlignment w:val="auto"/>
        <w:rPr>
          <w:rFonts w:hint="eastAsia"/>
          <w:b/>
          <w:color w:val="auto"/>
        </w:rPr>
      </w:pPr>
      <w:r>
        <w:rPr>
          <w:rFonts w:hint="eastAsia"/>
          <w:b/>
          <w:color w:val="auto"/>
          <w:u w:val="single"/>
        </w:rPr>
        <w:t>（6）加强施工管理，采取合理措施，尽可能不影响工程沿线正常交通、生产和生活，由此产生的各种措施费，及可能降低工效引起增加的费用由承包人承担。</w:t>
      </w:r>
    </w:p>
    <w:p>
      <w:pPr>
        <w:pageBreakBefore w:val="0"/>
        <w:kinsoku/>
        <w:wordWrap/>
        <w:overflowPunct/>
        <w:topLinePunct w:val="0"/>
        <w:autoSpaceDE/>
        <w:autoSpaceDN/>
        <w:bidi w:val="0"/>
        <w:spacing w:line="400" w:lineRule="exact"/>
        <w:ind w:firstLine="413" w:firstLineChars="196"/>
        <w:textAlignment w:val="auto"/>
        <w:rPr>
          <w:rFonts w:hint="eastAsia"/>
          <w:b/>
          <w:color w:val="auto"/>
          <w:u w:val="single"/>
        </w:rPr>
      </w:pPr>
      <w:r>
        <w:rPr>
          <w:rFonts w:hint="eastAsia"/>
          <w:b/>
          <w:color w:val="auto"/>
          <w:u w:val="single"/>
        </w:rPr>
        <w:t>（7）负责施工中为满足施工条件采取的各项措施，由此产生的费用由承包人承担。</w:t>
      </w:r>
    </w:p>
    <w:p>
      <w:pPr>
        <w:pageBreakBefore w:val="0"/>
        <w:kinsoku/>
        <w:wordWrap/>
        <w:overflowPunct/>
        <w:topLinePunct w:val="0"/>
        <w:autoSpaceDE/>
        <w:autoSpaceDN/>
        <w:bidi w:val="0"/>
        <w:spacing w:line="400" w:lineRule="exact"/>
        <w:ind w:firstLine="413" w:firstLineChars="196"/>
        <w:textAlignment w:val="auto"/>
        <w:rPr>
          <w:rFonts w:hint="eastAsia"/>
          <w:b/>
          <w:color w:val="auto"/>
          <w:u w:val="single"/>
        </w:rPr>
      </w:pPr>
      <w:r>
        <w:rPr>
          <w:rFonts w:hint="eastAsia"/>
          <w:b/>
          <w:color w:val="auto"/>
          <w:u w:val="single"/>
        </w:rPr>
        <w:t>（8）施工中应当采取必要措施防止土石方发生垮塌，因承包人措施不到位，垮塌造成的相关费用由承包人承担。</w:t>
      </w:r>
    </w:p>
    <w:p>
      <w:pPr>
        <w:pageBreakBefore w:val="0"/>
        <w:kinsoku/>
        <w:wordWrap/>
        <w:overflowPunct/>
        <w:topLinePunct w:val="0"/>
        <w:autoSpaceDE/>
        <w:autoSpaceDN/>
        <w:bidi w:val="0"/>
        <w:spacing w:line="400" w:lineRule="exact"/>
        <w:ind w:firstLine="413" w:firstLineChars="196"/>
        <w:textAlignment w:val="auto"/>
        <w:rPr>
          <w:rFonts w:hint="eastAsia"/>
          <w:b/>
          <w:color w:val="auto"/>
        </w:rPr>
      </w:pPr>
      <w:r>
        <w:rPr>
          <w:rFonts w:hint="eastAsia"/>
          <w:b/>
          <w:color w:val="auto"/>
          <w:u w:val="single"/>
        </w:rPr>
        <w:t>（9）承包人应自行预备发电机组，自备发电机的功率应满足施工用电负荷，确保施工期间电网停电等情况下能正常施工。因停电，承包人自行发电产生的有关费用，发包人不予以补偿；承包人应自行准备抽水设备和准备蓄水池，并同时考虑水压不足和加压措施产生的费用，发包人对由此产生的费用不予以补偿；发包人不因停水、停电延长工期。</w:t>
      </w:r>
    </w:p>
    <w:p>
      <w:pPr>
        <w:pageBreakBefore w:val="0"/>
        <w:kinsoku/>
        <w:wordWrap/>
        <w:overflowPunct/>
        <w:topLinePunct w:val="0"/>
        <w:autoSpaceDE/>
        <w:autoSpaceDN/>
        <w:bidi w:val="0"/>
        <w:spacing w:line="400" w:lineRule="exact"/>
        <w:ind w:firstLine="413" w:firstLineChars="196"/>
        <w:textAlignment w:val="auto"/>
        <w:rPr>
          <w:rFonts w:hint="eastAsia"/>
          <w:b/>
          <w:color w:val="auto"/>
        </w:rPr>
      </w:pPr>
      <w:r>
        <w:rPr>
          <w:rFonts w:hint="eastAsia"/>
          <w:b/>
          <w:color w:val="auto"/>
          <w:u w:val="single"/>
        </w:rPr>
        <w:t>（10）承包人应按照监理人审定的施工组织设计进行施工。</w:t>
      </w:r>
    </w:p>
    <w:p>
      <w:pPr>
        <w:pageBreakBefore w:val="0"/>
        <w:kinsoku/>
        <w:wordWrap/>
        <w:overflowPunct/>
        <w:topLinePunct w:val="0"/>
        <w:autoSpaceDE/>
        <w:autoSpaceDN/>
        <w:bidi w:val="0"/>
        <w:spacing w:line="400" w:lineRule="exact"/>
        <w:ind w:firstLine="413" w:firstLineChars="196"/>
        <w:textAlignment w:val="auto"/>
        <w:rPr>
          <w:rFonts w:hint="eastAsia"/>
          <w:b/>
          <w:color w:val="auto"/>
          <w:u w:val="single"/>
        </w:rPr>
      </w:pPr>
      <w:r>
        <w:rPr>
          <w:rFonts w:hint="eastAsia"/>
          <w:b/>
          <w:color w:val="auto"/>
          <w:u w:val="single"/>
        </w:rPr>
        <w:t>（11）工程款的支付按约定执行，承包人承诺不以未按期支付工程款为借口停工，更不得以此为由聚众闹事。</w:t>
      </w:r>
    </w:p>
    <w:p>
      <w:pPr>
        <w:pageBreakBefore w:val="0"/>
        <w:kinsoku/>
        <w:wordWrap/>
        <w:overflowPunct/>
        <w:topLinePunct w:val="0"/>
        <w:autoSpaceDE/>
        <w:autoSpaceDN/>
        <w:bidi w:val="0"/>
        <w:spacing w:line="400" w:lineRule="exact"/>
        <w:ind w:firstLine="413" w:firstLineChars="196"/>
        <w:textAlignment w:val="auto"/>
        <w:rPr>
          <w:rFonts w:hint="eastAsia"/>
          <w:b/>
          <w:color w:val="auto"/>
        </w:rPr>
      </w:pPr>
      <w:r>
        <w:rPr>
          <w:rFonts w:hint="eastAsia"/>
          <w:b/>
          <w:color w:val="auto"/>
          <w:u w:val="single"/>
        </w:rPr>
        <w:t>（12）承包人应履行合同约定的其他义务，农民工保证金按相关规定执行。</w:t>
      </w:r>
    </w:p>
    <w:p>
      <w:pPr>
        <w:pageBreakBefore w:val="0"/>
        <w:kinsoku/>
        <w:wordWrap/>
        <w:overflowPunct/>
        <w:topLinePunct w:val="0"/>
        <w:autoSpaceDE/>
        <w:autoSpaceDN/>
        <w:bidi w:val="0"/>
        <w:spacing w:line="400" w:lineRule="exact"/>
        <w:ind w:firstLine="413" w:firstLineChars="196"/>
        <w:textAlignment w:val="auto"/>
        <w:rPr>
          <w:rFonts w:hint="eastAsia"/>
          <w:b/>
          <w:color w:val="auto"/>
        </w:rPr>
      </w:pPr>
      <w:r>
        <w:rPr>
          <w:rFonts w:hint="eastAsia"/>
          <w:b/>
          <w:color w:val="auto"/>
          <w:u w:val="single"/>
        </w:rPr>
        <w:t>（13）负责施工中所有材料采购、运输、储存保管，且应遵守国家、地方有关规定，并完善相关手续，费用自行承担。</w:t>
      </w:r>
    </w:p>
    <w:p>
      <w:pPr>
        <w:pageBreakBefore w:val="0"/>
        <w:kinsoku/>
        <w:wordWrap/>
        <w:overflowPunct/>
        <w:topLinePunct w:val="0"/>
        <w:autoSpaceDE/>
        <w:autoSpaceDN/>
        <w:bidi w:val="0"/>
        <w:spacing w:line="400" w:lineRule="exact"/>
        <w:ind w:firstLine="413" w:firstLineChars="196"/>
        <w:textAlignment w:val="auto"/>
        <w:rPr>
          <w:rFonts w:hint="eastAsia"/>
          <w:b/>
          <w:color w:val="auto"/>
        </w:rPr>
      </w:pPr>
      <w:r>
        <w:rPr>
          <w:rFonts w:hint="eastAsia"/>
          <w:b/>
          <w:color w:val="auto"/>
          <w:u w:val="single"/>
        </w:rPr>
        <w:t>（14）开工前，承包人应主动</w:t>
      </w:r>
      <w:r>
        <w:rPr>
          <w:rFonts w:hint="eastAsia"/>
          <w:b/>
          <w:color w:val="auto"/>
          <w:u w:val="single"/>
          <w:lang w:eastAsia="zh-CN"/>
        </w:rPr>
        <w:t>会同</w:t>
      </w:r>
      <w:r>
        <w:rPr>
          <w:rFonts w:hint="eastAsia"/>
          <w:b/>
          <w:color w:val="auto"/>
          <w:u w:val="single"/>
        </w:rPr>
        <w:t>监理人、发包人共同确认需交接部位，并</w:t>
      </w:r>
      <w:r>
        <w:rPr>
          <w:rFonts w:hint="eastAsia"/>
          <w:b/>
          <w:color w:val="auto"/>
          <w:u w:val="single"/>
          <w:lang w:eastAsia="zh-CN"/>
        </w:rPr>
        <w:t>做好</w:t>
      </w:r>
      <w:r>
        <w:rPr>
          <w:rFonts w:hint="eastAsia"/>
          <w:b/>
          <w:color w:val="auto"/>
          <w:u w:val="single"/>
        </w:rPr>
        <w:t>记录，未经确认的不得开工，否则，由此造成的损失全部由承包人承担。</w:t>
      </w:r>
    </w:p>
    <w:p>
      <w:pPr>
        <w:pageBreakBefore w:val="0"/>
        <w:kinsoku/>
        <w:wordWrap/>
        <w:overflowPunct/>
        <w:topLinePunct w:val="0"/>
        <w:autoSpaceDE/>
        <w:autoSpaceDN/>
        <w:bidi w:val="0"/>
        <w:spacing w:line="400" w:lineRule="exact"/>
        <w:ind w:firstLine="413" w:firstLineChars="196"/>
        <w:textAlignment w:val="auto"/>
        <w:rPr>
          <w:rFonts w:hint="eastAsia"/>
          <w:b/>
          <w:color w:val="auto"/>
          <w:u w:val="single"/>
        </w:rPr>
      </w:pPr>
      <w:r>
        <w:rPr>
          <w:rFonts w:hint="eastAsia"/>
          <w:b/>
          <w:color w:val="auto"/>
          <w:u w:val="single"/>
        </w:rPr>
        <w:t>（15）施工中注重安全文明施工，采取一切有效预防措施，确保施工安全。施工期间，因承包人原因造成安全生产事故，导致人员伤亡、财产损失的一切经济责任和法律责任均由承包人承担。</w:t>
      </w:r>
    </w:p>
    <w:p>
      <w:pPr>
        <w:pageBreakBefore w:val="0"/>
        <w:kinsoku/>
        <w:wordWrap/>
        <w:overflowPunct/>
        <w:topLinePunct w:val="0"/>
        <w:autoSpaceDE/>
        <w:autoSpaceDN/>
        <w:bidi w:val="0"/>
        <w:spacing w:line="400" w:lineRule="exact"/>
        <w:ind w:firstLine="413" w:firstLineChars="196"/>
        <w:textAlignment w:val="auto"/>
        <w:rPr>
          <w:rFonts w:hint="eastAsia"/>
          <w:b/>
          <w:color w:val="auto"/>
          <w:u w:val="single"/>
        </w:rPr>
      </w:pPr>
      <w:r>
        <w:rPr>
          <w:rFonts w:hint="eastAsia"/>
          <w:b/>
          <w:color w:val="auto"/>
          <w:u w:val="single"/>
        </w:rPr>
        <w:t>（16）合同签订后，承包人按规定及时向有关部门缴清应缴纳的费用，并及时配合发包人在开工前办理施工许可证等建设手续。临时用地和占道、停水、停电、夜间施工、中断道路交通等的申请批准手续由承包人负责办理并承担相应费用。</w:t>
      </w:r>
    </w:p>
    <w:p>
      <w:pPr>
        <w:pageBreakBefore w:val="0"/>
        <w:kinsoku/>
        <w:wordWrap/>
        <w:overflowPunct/>
        <w:topLinePunct w:val="0"/>
        <w:autoSpaceDE/>
        <w:autoSpaceDN/>
        <w:bidi w:val="0"/>
        <w:spacing w:line="400" w:lineRule="exact"/>
        <w:ind w:firstLine="420" w:firstLineChars="200"/>
        <w:textAlignment w:val="auto"/>
        <w:rPr>
          <w:color w:val="auto"/>
          <w:szCs w:val="21"/>
        </w:rPr>
      </w:pPr>
      <w:r>
        <w:rPr>
          <w:rFonts w:hAnsi="宋体"/>
          <w:color w:val="auto"/>
          <w:szCs w:val="21"/>
        </w:rPr>
        <w:t>（</w:t>
      </w:r>
      <w:r>
        <w:rPr>
          <w:color w:val="auto"/>
          <w:szCs w:val="21"/>
        </w:rPr>
        <w:t>1</w:t>
      </w:r>
      <w:r>
        <w:rPr>
          <w:rFonts w:hint="eastAsia"/>
          <w:color w:val="auto"/>
          <w:szCs w:val="21"/>
        </w:rPr>
        <w:t>7</w:t>
      </w:r>
      <w:r>
        <w:rPr>
          <w:rFonts w:hAnsi="宋体"/>
          <w:color w:val="auto"/>
          <w:szCs w:val="21"/>
        </w:rPr>
        <w:t>）承包人应承担并支付为获得本合同工程所需的石料、砂、砾石、黏土或其他当地材料等所发生的料场使用费及其他开支或补偿费。发包人应尽可能协助承包人办理料场租用手续及解决使用过程中的有关问题。</w:t>
      </w:r>
    </w:p>
    <w:p>
      <w:pPr>
        <w:pageBreakBefore w:val="0"/>
        <w:kinsoku/>
        <w:wordWrap/>
        <w:overflowPunct/>
        <w:topLinePunct w:val="0"/>
        <w:autoSpaceDE/>
        <w:autoSpaceDN/>
        <w:bidi w:val="0"/>
        <w:spacing w:line="400" w:lineRule="exact"/>
        <w:ind w:firstLine="420" w:firstLineChars="200"/>
        <w:textAlignment w:val="auto"/>
        <w:rPr>
          <w:rFonts w:hAnsi="宋体"/>
          <w:color w:val="auto"/>
          <w:szCs w:val="21"/>
        </w:rPr>
      </w:pPr>
      <w:r>
        <w:rPr>
          <w:rFonts w:hAnsi="宋体"/>
          <w:color w:val="auto"/>
          <w:szCs w:val="21"/>
        </w:rPr>
        <w:t>（</w:t>
      </w:r>
      <w:r>
        <w:rPr>
          <w:rFonts w:hint="eastAsia"/>
          <w:color w:val="auto"/>
          <w:szCs w:val="21"/>
        </w:rPr>
        <w:t>18</w:t>
      </w:r>
      <w:r>
        <w:rPr>
          <w:rFonts w:hAnsi="宋体"/>
          <w:color w:val="auto"/>
          <w:szCs w:val="21"/>
        </w:rPr>
        <w:t>）承包人应严格遵守国家有关解决拖欠工程款和民工工资的法律、法规，及时支付工程中的材料、设备贷款及民工工资等费用。承包人不得以任何借口拖欠材料、设备贷款及民工工资等费用，如果出现此种现象，发包人有权从履约保证金中代为支付其拖欠的材料、设备贷款及民工工资，并从应付给承包人的工程款中扣除相应款项。对恶意拖欠和拒不按计划支付的，作为不良记录纳入公路建设市场信用信息管理系统。</w:t>
      </w:r>
    </w:p>
    <w:p>
      <w:pPr>
        <w:pageBreakBefore w:val="0"/>
        <w:kinsoku/>
        <w:wordWrap/>
        <w:overflowPunct/>
        <w:topLinePunct w:val="0"/>
        <w:autoSpaceDE/>
        <w:autoSpaceDN/>
        <w:bidi w:val="0"/>
        <w:spacing w:line="400" w:lineRule="exact"/>
        <w:ind w:firstLine="422" w:firstLineChars="200"/>
        <w:textAlignment w:val="auto"/>
        <w:rPr>
          <w:rFonts w:hAnsi="宋体"/>
          <w:b/>
          <w:color w:val="auto"/>
          <w:szCs w:val="21"/>
        </w:rPr>
      </w:pPr>
      <w:r>
        <w:rPr>
          <w:rFonts w:hint="eastAsia" w:hAnsi="宋体"/>
          <w:b/>
          <w:color w:val="auto"/>
          <w:szCs w:val="21"/>
        </w:rPr>
        <w:t>（19）承包人应按照国家及当地相关规定严格执行“一金三制”制度（即：农民工工资保证金、农民工工资专户制、农民工实名制、银行代发制）。</w:t>
      </w:r>
    </w:p>
    <w:p>
      <w:pPr>
        <w:pageBreakBefore w:val="0"/>
        <w:kinsoku/>
        <w:wordWrap/>
        <w:overflowPunct/>
        <w:topLinePunct w:val="0"/>
        <w:autoSpaceDE/>
        <w:autoSpaceDN/>
        <w:bidi w:val="0"/>
        <w:spacing w:line="400" w:lineRule="exact"/>
        <w:ind w:firstLine="411" w:firstLineChars="196"/>
        <w:textAlignment w:val="auto"/>
        <w:rPr>
          <w:rFonts w:hint="eastAsia"/>
          <w:b/>
          <w:color w:val="auto"/>
          <w:u w:val="single"/>
        </w:rPr>
      </w:pPr>
      <w:r>
        <w:rPr>
          <w:rFonts w:hAnsi="宋体"/>
          <w:color w:val="auto"/>
          <w:szCs w:val="21"/>
        </w:rPr>
        <w:t>（</w:t>
      </w:r>
      <w:r>
        <w:rPr>
          <w:rFonts w:hint="eastAsia"/>
          <w:color w:val="auto"/>
          <w:szCs w:val="21"/>
        </w:rPr>
        <w:t>20</w:t>
      </w:r>
      <w:r>
        <w:rPr>
          <w:rFonts w:hAnsi="宋体"/>
          <w:color w:val="auto"/>
          <w:szCs w:val="21"/>
        </w:rPr>
        <w:t>）承包人应履行项目专用合同条款约定的其他义务。</w:t>
      </w:r>
    </w:p>
    <w:p>
      <w:pPr>
        <w:pageBreakBefore w:val="0"/>
        <w:kinsoku/>
        <w:wordWrap/>
        <w:overflowPunct/>
        <w:topLinePunct w:val="0"/>
        <w:autoSpaceDE/>
        <w:autoSpaceDN/>
        <w:bidi w:val="0"/>
        <w:spacing w:line="400" w:lineRule="exact"/>
        <w:textAlignment w:val="auto"/>
        <w:rPr>
          <w:rFonts w:hint="eastAsia"/>
          <w:b/>
          <w:color w:val="auto"/>
          <w:u w:val="single"/>
        </w:rPr>
      </w:pPr>
      <w:r>
        <w:rPr>
          <w:rFonts w:hint="eastAsia"/>
          <w:b/>
          <w:color w:val="auto"/>
        </w:rPr>
        <w:t>4.2 履约担保</w:t>
      </w:r>
    </w:p>
    <w:p>
      <w:pPr>
        <w:pageBreakBefore w:val="0"/>
        <w:kinsoku/>
        <w:wordWrap/>
        <w:overflowPunct/>
        <w:topLinePunct w:val="0"/>
        <w:autoSpaceDE/>
        <w:autoSpaceDN/>
        <w:bidi w:val="0"/>
        <w:spacing w:line="400" w:lineRule="exact"/>
        <w:ind w:firstLine="420" w:firstLineChars="200"/>
        <w:textAlignment w:val="auto"/>
        <w:rPr>
          <w:rFonts w:hint="eastAsia"/>
          <w:color w:val="auto"/>
        </w:rPr>
      </w:pPr>
      <w:r>
        <w:rPr>
          <w:rFonts w:hint="eastAsia"/>
          <w:color w:val="auto"/>
        </w:rPr>
        <w:t>4.2.1承包人是否提供履约担保：</w:t>
      </w:r>
      <w:r>
        <w:rPr>
          <w:rFonts w:hint="eastAsia"/>
          <w:b/>
          <w:color w:val="auto"/>
          <w:u w:val="single"/>
        </w:rPr>
        <w:t>是。</w:t>
      </w:r>
    </w:p>
    <w:p>
      <w:pPr>
        <w:pageBreakBefore w:val="0"/>
        <w:kinsoku/>
        <w:wordWrap/>
        <w:overflowPunct/>
        <w:topLinePunct w:val="0"/>
        <w:autoSpaceDE/>
        <w:autoSpaceDN/>
        <w:bidi w:val="0"/>
        <w:spacing w:line="400" w:lineRule="exact"/>
        <w:ind w:firstLine="420" w:firstLineChars="200"/>
        <w:textAlignment w:val="auto"/>
        <w:rPr>
          <w:rFonts w:hint="eastAsia"/>
          <w:color w:val="auto"/>
        </w:rPr>
      </w:pPr>
      <w:r>
        <w:rPr>
          <w:rFonts w:hint="eastAsia"/>
          <w:color w:val="auto"/>
        </w:rPr>
        <w:t>4.2.2承包人提供履约担保的形式、金额及期限的：</w:t>
      </w:r>
      <w:r>
        <w:rPr>
          <w:rFonts w:hint="eastAsia" w:ascii="宋体" w:hAnsi="宋体" w:eastAsia="宋体" w:cs="宋体"/>
          <w:color w:val="auto"/>
          <w:sz w:val="21"/>
          <w:szCs w:val="21"/>
        </w:rPr>
        <w:t>履约保证金金额为</w:t>
      </w:r>
      <w:r>
        <w:rPr>
          <w:rFonts w:hint="default" w:ascii="宋体" w:hAnsi="宋体" w:eastAsia="宋体" w:cs="宋体"/>
          <w:color w:val="auto"/>
          <w:sz w:val="21"/>
          <w:szCs w:val="21"/>
          <w:lang w:val="en-US" w:eastAsia="zh-CN"/>
        </w:rPr>
        <w:t>合同金额</w:t>
      </w:r>
      <w:r>
        <w:rPr>
          <w:rFonts w:hint="eastAsia" w:ascii="宋体" w:hAnsi="宋体" w:eastAsia="宋体" w:cs="宋体"/>
          <w:color w:val="auto"/>
          <w:sz w:val="21"/>
          <w:szCs w:val="21"/>
        </w:rPr>
        <w:t>的</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%，农民工工资保证金金额为</w:t>
      </w:r>
      <w:r>
        <w:rPr>
          <w:rFonts w:hint="default" w:ascii="宋体" w:hAnsi="宋体" w:eastAsia="宋体" w:cs="宋体"/>
          <w:color w:val="auto"/>
          <w:sz w:val="21"/>
          <w:szCs w:val="21"/>
          <w:lang w:val="en-US" w:eastAsia="zh-CN"/>
        </w:rPr>
        <w:t>合同金额</w:t>
      </w:r>
      <w:r>
        <w:rPr>
          <w:rFonts w:hint="eastAsia" w:ascii="宋体" w:hAnsi="宋体" w:eastAsia="宋体" w:cs="宋体"/>
          <w:color w:val="auto"/>
          <w:sz w:val="21"/>
          <w:szCs w:val="21"/>
        </w:rPr>
        <w:t>的2%。</w:t>
      </w:r>
      <w:r>
        <w:rPr>
          <w:rFonts w:hint="eastAsia"/>
          <w:color w:val="auto"/>
        </w:rPr>
        <w:t>承包人应在收到中标通知书后</w:t>
      </w:r>
      <w:r>
        <w:rPr>
          <w:rFonts w:hint="eastAsia"/>
          <w:color w:val="auto"/>
          <w:u w:val="single"/>
        </w:rPr>
        <w:t xml:space="preserve"> </w:t>
      </w:r>
      <w:r>
        <w:rPr>
          <w:rFonts w:hint="eastAsia"/>
          <w:color w:val="auto"/>
          <w:u w:val="single"/>
          <w:lang w:val="en-US" w:eastAsia="zh-CN"/>
        </w:rPr>
        <w:t>10</w:t>
      </w:r>
      <w:r>
        <w:rPr>
          <w:rFonts w:hint="eastAsia"/>
          <w:color w:val="auto"/>
          <w:u w:val="single"/>
        </w:rPr>
        <w:t xml:space="preserve"> </w:t>
      </w:r>
      <w:r>
        <w:rPr>
          <w:rFonts w:hint="eastAsia"/>
          <w:color w:val="auto"/>
        </w:rPr>
        <w:t>日内，施工合同签订前按照发包人指定方式提交，若未按时提交，则视为中标人放弃中标，其投标保证金不予退还，给发包</w:t>
      </w:r>
      <w:r>
        <w:rPr>
          <w:rFonts w:hint="eastAsia"/>
          <w:color w:val="auto"/>
          <w:lang w:eastAsia="zh-CN"/>
        </w:rPr>
        <w:t>人</w:t>
      </w:r>
      <w:r>
        <w:rPr>
          <w:rFonts w:hint="eastAsia"/>
          <w:color w:val="auto"/>
        </w:rPr>
        <w:t>造成的损失超过投标保证金数额的，中标人还应当对超过部分予以赔偿。</w:t>
      </w:r>
    </w:p>
    <w:p>
      <w:pPr>
        <w:keepNext w:val="0"/>
        <w:keepLines w:val="0"/>
        <w:pageBreakBefore w:val="0"/>
        <w:kinsoku/>
        <w:wordWrap/>
        <w:overflowPunct/>
        <w:topLinePunct w:val="0"/>
        <w:autoSpaceDE/>
        <w:autoSpaceDN/>
        <w:bidi w:val="0"/>
        <w:adjustRightInd/>
        <w:spacing w:line="460" w:lineRule="exact"/>
        <w:ind w:firstLine="420" w:firstLineChars="200"/>
        <w:textAlignment w:val="auto"/>
      </w:pPr>
      <w:r>
        <w:rPr>
          <w:rFonts w:hint="eastAsia"/>
          <w:color w:val="auto"/>
        </w:rPr>
        <w:t>4.2.2</w:t>
      </w:r>
      <w:r>
        <w:rPr>
          <w:rFonts w:hint="eastAsia" w:ascii="宋体" w:hAnsi="宋体" w:cs="宋体"/>
          <w:color w:val="auto"/>
          <w:kern w:val="0"/>
          <w:szCs w:val="21"/>
        </w:rPr>
        <w:t>.履约保证金的退还：</w:t>
      </w:r>
      <w:r>
        <w:rPr>
          <w:rFonts w:hint="eastAsia" w:ascii="宋体" w:hAnsi="宋体" w:eastAsia="宋体" w:cs="宋体"/>
          <w:color w:val="auto"/>
          <w:sz w:val="21"/>
          <w:szCs w:val="21"/>
          <w:lang w:val="en-US" w:eastAsia="zh-CN"/>
        </w:rPr>
        <w:t>预</w:t>
      </w:r>
      <w:r>
        <w:rPr>
          <w:rFonts w:hint="default" w:ascii="宋体" w:hAnsi="宋体" w:eastAsia="宋体" w:cs="宋体"/>
          <w:color w:val="auto"/>
          <w:sz w:val="21"/>
          <w:szCs w:val="21"/>
          <w:lang w:val="en-US" w:eastAsia="zh-CN"/>
        </w:rPr>
        <w:t>验收合格后一个月内一次性退还</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农民工工资保证金返还</w:t>
      </w:r>
      <w:r>
        <w:rPr>
          <w:rFonts w:hint="eastAsia" w:ascii="宋体" w:hAnsi="宋体" w:eastAsia="宋体" w:cs="宋体"/>
          <w:color w:val="auto"/>
          <w:sz w:val="21"/>
          <w:szCs w:val="21"/>
          <w:lang w:eastAsia="zh-CN"/>
        </w:rPr>
        <w:t>：</w:t>
      </w:r>
      <w:r>
        <w:rPr>
          <w:rFonts w:hint="default" w:ascii="宋体" w:hAnsi="宋体" w:eastAsia="宋体" w:cs="宋体"/>
          <w:color w:val="auto"/>
          <w:sz w:val="21"/>
          <w:szCs w:val="21"/>
          <w:lang w:val="en-US" w:eastAsia="zh-CN"/>
        </w:rPr>
        <w:t>竣工验收合格且支付完农民工工资后</w:t>
      </w:r>
      <w:r>
        <w:rPr>
          <w:rFonts w:hint="eastAsia" w:ascii="宋体" w:hAnsi="宋体" w:eastAsia="宋体" w:cs="宋体"/>
          <w:color w:val="auto"/>
          <w:sz w:val="21"/>
          <w:szCs w:val="21"/>
          <w:lang w:val="en-US" w:eastAsia="zh-CN"/>
        </w:rPr>
        <w:t>90日历天</w:t>
      </w:r>
      <w:r>
        <w:rPr>
          <w:rFonts w:hint="default" w:ascii="宋体" w:hAnsi="宋体" w:eastAsia="宋体" w:cs="宋体"/>
          <w:color w:val="auto"/>
          <w:sz w:val="21"/>
          <w:szCs w:val="21"/>
          <w:lang w:val="en-US" w:eastAsia="zh-CN"/>
        </w:rPr>
        <w:t>内一次性退还。</w:t>
      </w:r>
    </w:p>
    <w:p>
      <w:pPr>
        <w:pageBreakBefore w:val="0"/>
        <w:kinsoku/>
        <w:wordWrap/>
        <w:overflowPunct/>
        <w:topLinePunct w:val="0"/>
        <w:autoSpaceDE/>
        <w:autoSpaceDN/>
        <w:bidi w:val="0"/>
        <w:spacing w:line="400" w:lineRule="exact"/>
        <w:ind w:firstLine="422" w:firstLineChars="200"/>
        <w:textAlignment w:val="auto"/>
        <w:rPr>
          <w:rFonts w:hint="eastAsia"/>
          <w:b/>
          <w:color w:val="auto"/>
        </w:rPr>
      </w:pP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4.3 分包</w:t>
      </w:r>
    </w:p>
    <w:p>
      <w:pPr>
        <w:pageBreakBefore w:val="0"/>
        <w:kinsoku/>
        <w:wordWrap/>
        <w:overflowPunct/>
        <w:topLinePunct w:val="0"/>
        <w:autoSpaceDE/>
        <w:autoSpaceDN/>
        <w:bidi w:val="0"/>
        <w:spacing w:line="400" w:lineRule="exact"/>
        <w:ind w:firstLine="411" w:firstLineChars="196"/>
        <w:textAlignment w:val="auto"/>
        <w:rPr>
          <w:rFonts w:hint="eastAsia"/>
          <w:b/>
          <w:color w:val="auto"/>
        </w:rPr>
      </w:pPr>
      <w:r>
        <w:rPr>
          <w:rFonts w:hint="eastAsia"/>
          <w:color w:val="auto"/>
        </w:rPr>
        <w:t>4.3.2分包的内容</w:t>
      </w:r>
    </w:p>
    <w:p>
      <w:pPr>
        <w:pageBreakBefore w:val="0"/>
        <w:kinsoku/>
        <w:wordWrap/>
        <w:overflowPunct/>
        <w:topLinePunct w:val="0"/>
        <w:autoSpaceDE/>
        <w:autoSpaceDN/>
        <w:bidi w:val="0"/>
        <w:spacing w:line="400" w:lineRule="exact"/>
        <w:ind w:firstLine="411" w:firstLineChars="196"/>
        <w:textAlignment w:val="auto"/>
        <w:rPr>
          <w:rFonts w:hint="eastAsia"/>
          <w:b/>
          <w:color w:val="auto"/>
          <w:u w:val="single"/>
        </w:rPr>
      </w:pPr>
      <w:r>
        <w:rPr>
          <w:rFonts w:hint="eastAsia"/>
          <w:color w:val="auto"/>
        </w:rPr>
        <w:t>当事人约定</w:t>
      </w:r>
      <w:r>
        <w:rPr>
          <w:rFonts w:hint="eastAsia" w:ascii="宋体" w:hAnsi="宋体" w:cs="宋体"/>
          <w:color w:val="auto"/>
          <w:szCs w:val="21"/>
        </w:rPr>
        <w:t>某些非主体、非关键性工作分包给第三人：</w:t>
      </w:r>
      <w:r>
        <w:rPr>
          <w:rFonts w:hint="eastAsia" w:ascii="宋体" w:hAnsi="宋体" w:cs="宋体"/>
          <w:b/>
          <w:color w:val="auto"/>
          <w:szCs w:val="21"/>
          <w:u w:val="single"/>
        </w:rPr>
        <w:t>本工程</w:t>
      </w:r>
      <w:r>
        <w:rPr>
          <w:rFonts w:hint="eastAsia"/>
          <w:b/>
          <w:color w:val="auto"/>
          <w:u w:val="single"/>
        </w:rPr>
        <w:t>不允许转包、除劳务外不得分包。</w:t>
      </w:r>
    </w:p>
    <w:p>
      <w:pPr>
        <w:pageBreakBefore w:val="0"/>
        <w:kinsoku/>
        <w:wordWrap/>
        <w:overflowPunct/>
        <w:topLinePunct w:val="0"/>
        <w:autoSpaceDE/>
        <w:autoSpaceDN/>
        <w:bidi w:val="0"/>
        <w:spacing w:line="400" w:lineRule="exact"/>
        <w:textAlignment w:val="auto"/>
        <w:rPr>
          <w:rFonts w:hint="eastAsia"/>
          <w:b/>
          <w:color w:val="auto"/>
        </w:rPr>
      </w:pPr>
      <w:bookmarkStart w:id="476" w:name="_Toc26622"/>
      <w:bookmarkStart w:id="477" w:name="_Toc418077881"/>
      <w:bookmarkStart w:id="478" w:name="_Toc13208"/>
      <w:r>
        <w:rPr>
          <w:rFonts w:hint="eastAsia"/>
          <w:b/>
          <w:color w:val="auto"/>
        </w:rPr>
        <w:t>4. 5 承包人项目经理</w:t>
      </w:r>
      <w:bookmarkEnd w:id="476"/>
      <w:bookmarkEnd w:id="477"/>
      <w:r>
        <w:rPr>
          <w:rFonts w:hint="eastAsia"/>
          <w:b/>
          <w:color w:val="auto"/>
        </w:rPr>
        <w:t xml:space="preserve">   </w:t>
      </w:r>
      <w:bookmarkEnd w:id="478"/>
    </w:p>
    <w:p>
      <w:pPr>
        <w:pageBreakBefore w:val="0"/>
        <w:kinsoku/>
        <w:wordWrap/>
        <w:overflowPunct/>
        <w:topLinePunct w:val="0"/>
        <w:autoSpaceDE/>
        <w:autoSpaceDN/>
        <w:bidi w:val="0"/>
        <w:spacing w:line="400" w:lineRule="exact"/>
        <w:ind w:firstLine="480"/>
        <w:jc w:val="left"/>
        <w:textAlignment w:val="auto"/>
        <w:rPr>
          <w:rFonts w:hint="eastAsia"/>
          <w:color w:val="auto"/>
        </w:rPr>
      </w:pPr>
      <w:bookmarkStart w:id="479" w:name="_Toc327347168"/>
      <w:bookmarkStart w:id="480" w:name="_Toc5889"/>
      <w:bookmarkStart w:id="481" w:name="_Toc19197"/>
      <w:bookmarkStart w:id="482" w:name="_Toc266027434"/>
      <w:bookmarkStart w:id="483" w:name="_Toc224103411"/>
      <w:bookmarkStart w:id="484" w:name="_Toc418077882"/>
      <w:bookmarkStart w:id="485" w:name="_Toc359579051"/>
      <w:r>
        <w:rPr>
          <w:rFonts w:hint="eastAsia"/>
          <w:color w:val="auto"/>
        </w:rPr>
        <w:t>4.5.1承包人项目经理必须与承包人投标时所承诺的人员一致，并在根据通用合同条款第11.1.1项确定的开工日期前到任。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pageBreakBefore w:val="0"/>
        <w:kinsoku/>
        <w:wordWrap/>
        <w:overflowPunct/>
        <w:topLinePunct w:val="0"/>
        <w:autoSpaceDE/>
        <w:autoSpaceDN/>
        <w:bidi w:val="0"/>
        <w:spacing w:line="400" w:lineRule="exact"/>
        <w:textAlignment w:val="auto"/>
        <w:rPr>
          <w:b/>
          <w:color w:val="auto"/>
        </w:rPr>
      </w:pPr>
      <w:r>
        <w:rPr>
          <w:rFonts w:hint="eastAsia"/>
          <w:b/>
          <w:color w:val="auto"/>
        </w:rPr>
        <w:t>4.11  不利物质条件</w:t>
      </w:r>
      <w:bookmarkEnd w:id="479"/>
      <w:bookmarkEnd w:id="480"/>
      <w:bookmarkEnd w:id="481"/>
      <w:bookmarkEnd w:id="482"/>
      <w:bookmarkEnd w:id="483"/>
      <w:bookmarkEnd w:id="484"/>
      <w:bookmarkEnd w:id="485"/>
    </w:p>
    <w:p>
      <w:pPr>
        <w:pageBreakBefore w:val="0"/>
        <w:kinsoku/>
        <w:wordWrap/>
        <w:overflowPunct/>
        <w:topLinePunct w:val="0"/>
        <w:autoSpaceDE/>
        <w:autoSpaceDN/>
        <w:bidi w:val="0"/>
        <w:spacing w:line="400" w:lineRule="exact"/>
        <w:ind w:firstLine="420" w:firstLineChars="200"/>
        <w:textAlignment w:val="auto"/>
        <w:rPr>
          <w:rFonts w:hint="eastAsia"/>
          <w:color w:val="auto"/>
        </w:rPr>
      </w:pPr>
      <w:r>
        <w:rPr>
          <w:rFonts w:hint="eastAsia"/>
          <w:color w:val="auto"/>
        </w:rPr>
        <w:t>4.11.1  不利物质条件的范围：</w:t>
      </w:r>
      <w:r>
        <w:rPr>
          <w:rFonts w:hint="eastAsia"/>
          <w:b/>
          <w:color w:val="auto"/>
          <w:u w:val="single"/>
        </w:rPr>
        <w:t xml:space="preserve">按通用条款执行。 </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5.  材料和工程设备</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5.1  承包人提供的材料和工程设备</w:t>
      </w:r>
    </w:p>
    <w:p>
      <w:pPr>
        <w:pageBreakBefore w:val="0"/>
        <w:kinsoku/>
        <w:wordWrap/>
        <w:overflowPunct/>
        <w:topLinePunct w:val="0"/>
        <w:autoSpaceDE/>
        <w:autoSpaceDN/>
        <w:bidi w:val="0"/>
        <w:spacing w:line="400" w:lineRule="exact"/>
        <w:ind w:firstLine="480"/>
        <w:jc w:val="left"/>
        <w:textAlignment w:val="auto"/>
        <w:rPr>
          <w:rFonts w:hint="eastAsia" w:ascii="宋体" w:hAnsi="宋体"/>
          <w:b/>
          <w:color w:val="auto"/>
          <w:szCs w:val="21"/>
          <w:u w:val="single"/>
        </w:rPr>
      </w:pPr>
      <w:r>
        <w:rPr>
          <w:rFonts w:hint="eastAsia"/>
          <w:color w:val="auto"/>
        </w:rPr>
        <w:t>5.1.1</w:t>
      </w:r>
      <w:r>
        <w:rPr>
          <w:rFonts w:hint="eastAsia" w:ascii="宋体" w:hAnsi="宋体"/>
          <w:b/>
          <w:color w:val="auto"/>
          <w:szCs w:val="21"/>
          <w:u w:val="single"/>
        </w:rPr>
        <w:t>本工程所需材料、工程设备均由承包人负责采购、运输和保管。</w:t>
      </w:r>
    </w:p>
    <w:p>
      <w:pPr>
        <w:pageBreakBefore w:val="0"/>
        <w:kinsoku/>
        <w:wordWrap/>
        <w:overflowPunct/>
        <w:topLinePunct w:val="0"/>
        <w:autoSpaceDE/>
        <w:autoSpaceDN/>
        <w:bidi w:val="0"/>
        <w:spacing w:line="400" w:lineRule="exact"/>
        <w:ind w:firstLine="480"/>
        <w:jc w:val="left"/>
        <w:textAlignment w:val="auto"/>
        <w:rPr>
          <w:rFonts w:hint="eastAsia"/>
          <w:b/>
          <w:color w:val="auto"/>
          <w:u w:val="single"/>
        </w:rPr>
      </w:pPr>
      <w:r>
        <w:rPr>
          <w:rFonts w:hint="eastAsia"/>
          <w:color w:val="auto"/>
        </w:rPr>
        <w:t xml:space="preserve">5.1.2 </w:t>
      </w:r>
      <w:r>
        <w:rPr>
          <w:rFonts w:hint="eastAsia" w:ascii="宋体" w:hAnsi="宋体"/>
          <w:b/>
          <w:color w:val="auto"/>
          <w:szCs w:val="21"/>
          <w:u w:val="single"/>
        </w:rPr>
        <w:t xml:space="preserve">承包人应将各项材料和工程设备的供货人及品种、规格、数量和供货时间等，在材料、设备采购计划进场前以书面形式报送监理人审批。监理工程师和发包人收到承包人的书面报告后7 日内予以确认。 承包人应向监理人提交其负责提供的材料和工程设备的质量证明文件，并满足合同约定的质量标准。 </w:t>
      </w:r>
    </w:p>
    <w:p>
      <w:pPr>
        <w:pageBreakBefore w:val="0"/>
        <w:kinsoku/>
        <w:wordWrap/>
        <w:overflowPunct/>
        <w:topLinePunct w:val="0"/>
        <w:autoSpaceDE/>
        <w:autoSpaceDN/>
        <w:bidi w:val="0"/>
        <w:spacing w:line="400" w:lineRule="exact"/>
        <w:ind w:firstLine="480"/>
        <w:jc w:val="left"/>
        <w:textAlignment w:val="auto"/>
        <w:rPr>
          <w:rFonts w:hint="eastAsia"/>
          <w:b/>
          <w:color w:val="auto"/>
          <w:u w:val="single"/>
        </w:rPr>
      </w:pPr>
      <w:r>
        <w:rPr>
          <w:rFonts w:hint="eastAsia"/>
          <w:color w:val="auto"/>
        </w:rPr>
        <w:t xml:space="preserve">5.1.3 </w:t>
      </w:r>
      <w:r>
        <w:rPr>
          <w:rFonts w:hint="eastAsia" w:ascii="宋体" w:hAnsi="宋体"/>
          <w:b/>
          <w:color w:val="auto"/>
          <w:szCs w:val="21"/>
          <w:u w:val="single"/>
        </w:rPr>
        <w:t>对承包人提供的材料和工程设备，承包人在材料、设备到货前24小时通知监理工程师和发包人代表进行检验和交货验收，查验材料合格证明和产品合格证书，并按合同约定和监理人指示，进行材料的抽样检验和工程设备的检验测试，检验和测试结果应提交监理人，所需费用由承包人承担。</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5.2  发包人提供的材料和工程设备</w:t>
      </w:r>
    </w:p>
    <w:p>
      <w:pPr>
        <w:pageBreakBefore w:val="0"/>
        <w:kinsoku/>
        <w:wordWrap/>
        <w:overflowPunct/>
        <w:topLinePunct w:val="0"/>
        <w:autoSpaceDE/>
        <w:autoSpaceDN/>
        <w:bidi w:val="0"/>
        <w:spacing w:line="400" w:lineRule="exact"/>
        <w:ind w:firstLine="420" w:firstLineChars="200"/>
        <w:textAlignment w:val="auto"/>
        <w:rPr>
          <w:rFonts w:hint="eastAsia"/>
          <w:color w:val="auto"/>
        </w:rPr>
      </w:pPr>
      <w:r>
        <w:rPr>
          <w:rFonts w:hint="eastAsia"/>
          <w:color w:val="auto"/>
        </w:rPr>
        <w:t xml:space="preserve">5.2.1 材料的名称、规格、数量和价格： </w:t>
      </w:r>
      <w:r>
        <w:rPr>
          <w:rFonts w:hint="eastAsia"/>
          <w:b/>
          <w:color w:val="auto"/>
          <w:u w:val="single"/>
        </w:rPr>
        <w:t xml:space="preserve">无。 </w:t>
      </w:r>
    </w:p>
    <w:p>
      <w:pPr>
        <w:pageBreakBefore w:val="0"/>
        <w:kinsoku/>
        <w:wordWrap/>
        <w:overflowPunct/>
        <w:topLinePunct w:val="0"/>
        <w:autoSpaceDE/>
        <w:autoSpaceDN/>
        <w:bidi w:val="0"/>
        <w:spacing w:line="400" w:lineRule="exact"/>
        <w:ind w:firstLine="420" w:firstLineChars="200"/>
        <w:textAlignment w:val="auto"/>
        <w:rPr>
          <w:rFonts w:hint="eastAsia"/>
          <w:color w:val="auto"/>
        </w:rPr>
      </w:pPr>
      <w:r>
        <w:rPr>
          <w:rFonts w:hint="eastAsia"/>
          <w:color w:val="auto"/>
        </w:rPr>
        <w:t>材料的交货方式、地点和日期：</w:t>
      </w:r>
      <w:r>
        <w:rPr>
          <w:rFonts w:hint="eastAsia"/>
          <w:b/>
          <w:color w:val="auto"/>
          <w:u w:val="single"/>
        </w:rPr>
        <w:t>无。</w:t>
      </w:r>
    </w:p>
    <w:p>
      <w:pPr>
        <w:pageBreakBefore w:val="0"/>
        <w:kinsoku/>
        <w:wordWrap/>
        <w:overflowPunct/>
        <w:topLinePunct w:val="0"/>
        <w:autoSpaceDE/>
        <w:autoSpaceDN/>
        <w:bidi w:val="0"/>
        <w:spacing w:line="400" w:lineRule="exact"/>
        <w:ind w:firstLine="420" w:firstLineChars="200"/>
        <w:textAlignment w:val="auto"/>
        <w:rPr>
          <w:rFonts w:hint="eastAsia"/>
          <w:color w:val="auto"/>
        </w:rPr>
      </w:pPr>
      <w:r>
        <w:rPr>
          <w:rFonts w:hint="eastAsia"/>
          <w:color w:val="auto"/>
        </w:rPr>
        <w:t>工程设备的名称、规格、数量和价格：</w:t>
      </w:r>
      <w:r>
        <w:rPr>
          <w:rFonts w:hint="eastAsia"/>
          <w:b/>
          <w:color w:val="auto"/>
          <w:u w:val="single"/>
        </w:rPr>
        <w:t>无</w:t>
      </w:r>
      <w:r>
        <w:rPr>
          <w:rFonts w:hint="eastAsia"/>
          <w:color w:val="auto"/>
        </w:rPr>
        <w:t>。</w:t>
      </w:r>
    </w:p>
    <w:p>
      <w:pPr>
        <w:pageBreakBefore w:val="0"/>
        <w:kinsoku/>
        <w:wordWrap/>
        <w:overflowPunct/>
        <w:topLinePunct w:val="0"/>
        <w:autoSpaceDE/>
        <w:autoSpaceDN/>
        <w:bidi w:val="0"/>
        <w:spacing w:line="400" w:lineRule="exact"/>
        <w:ind w:firstLine="420" w:firstLineChars="200"/>
        <w:textAlignment w:val="auto"/>
        <w:rPr>
          <w:rFonts w:hint="eastAsia"/>
          <w:color w:val="auto"/>
        </w:rPr>
      </w:pPr>
      <w:r>
        <w:rPr>
          <w:rFonts w:hint="eastAsia"/>
          <w:color w:val="auto"/>
        </w:rPr>
        <w:t>工程设备的交货方式、地点和日期：</w:t>
      </w:r>
      <w:r>
        <w:rPr>
          <w:rFonts w:hint="eastAsia"/>
          <w:b/>
          <w:color w:val="auto"/>
          <w:u w:val="single"/>
        </w:rPr>
        <w:t>无。</w:t>
      </w:r>
    </w:p>
    <w:p>
      <w:pPr>
        <w:pageBreakBefore w:val="0"/>
        <w:kinsoku/>
        <w:wordWrap/>
        <w:overflowPunct/>
        <w:topLinePunct w:val="0"/>
        <w:autoSpaceDE/>
        <w:autoSpaceDN/>
        <w:bidi w:val="0"/>
        <w:spacing w:line="400" w:lineRule="exact"/>
        <w:ind w:firstLine="420" w:firstLineChars="200"/>
        <w:textAlignment w:val="auto"/>
        <w:rPr>
          <w:rFonts w:hint="eastAsia"/>
          <w:color w:val="auto"/>
        </w:rPr>
      </w:pPr>
      <w:r>
        <w:rPr>
          <w:rFonts w:hint="eastAsia"/>
          <w:color w:val="auto"/>
        </w:rPr>
        <w:t>5.2.3材料和工程设备的接收、运输与保管：</w:t>
      </w:r>
      <w:r>
        <w:rPr>
          <w:rFonts w:hint="eastAsia"/>
          <w:b/>
          <w:color w:val="auto"/>
          <w:u w:val="single"/>
        </w:rPr>
        <w:t>无。</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6.  施工设备和临时设施</w:t>
      </w:r>
    </w:p>
    <w:p>
      <w:pPr>
        <w:pageBreakBefore w:val="0"/>
        <w:kinsoku/>
        <w:wordWrap/>
        <w:overflowPunct/>
        <w:topLinePunct w:val="0"/>
        <w:autoSpaceDE/>
        <w:autoSpaceDN/>
        <w:bidi w:val="0"/>
        <w:spacing w:line="400" w:lineRule="exact"/>
        <w:ind w:firstLine="422" w:firstLineChars="200"/>
        <w:textAlignment w:val="auto"/>
        <w:rPr>
          <w:rFonts w:hint="eastAsia"/>
          <w:b/>
          <w:color w:val="auto"/>
        </w:rPr>
      </w:pPr>
      <w:r>
        <w:rPr>
          <w:rFonts w:hint="eastAsia"/>
          <w:b/>
          <w:color w:val="auto"/>
        </w:rPr>
        <w:t>6.1  承包人提供的施工设备和临时设施</w:t>
      </w:r>
    </w:p>
    <w:p>
      <w:pPr>
        <w:pageBreakBefore w:val="0"/>
        <w:kinsoku/>
        <w:wordWrap/>
        <w:overflowPunct/>
        <w:topLinePunct w:val="0"/>
        <w:autoSpaceDE/>
        <w:autoSpaceDN/>
        <w:bidi w:val="0"/>
        <w:spacing w:line="400" w:lineRule="exact"/>
        <w:ind w:firstLine="420" w:firstLineChars="200"/>
        <w:textAlignment w:val="auto"/>
        <w:rPr>
          <w:rFonts w:hint="eastAsia"/>
          <w:b/>
          <w:color w:val="auto"/>
          <w:u w:val="single"/>
        </w:rPr>
      </w:pPr>
      <w:r>
        <w:rPr>
          <w:rFonts w:hint="eastAsia"/>
          <w:color w:val="auto"/>
        </w:rPr>
        <w:t xml:space="preserve">6.1.2 承包人承担修建临时设施费用的范围： </w:t>
      </w:r>
      <w:r>
        <w:rPr>
          <w:rFonts w:hint="eastAsia"/>
          <w:b/>
          <w:color w:val="auto"/>
          <w:u w:val="single"/>
        </w:rPr>
        <w:t>临时设施均由承包人负责修建，费用承包人承担。</w:t>
      </w:r>
    </w:p>
    <w:p>
      <w:pPr>
        <w:pageBreakBefore w:val="0"/>
        <w:kinsoku/>
        <w:wordWrap/>
        <w:overflowPunct/>
        <w:topLinePunct w:val="0"/>
        <w:autoSpaceDE/>
        <w:autoSpaceDN/>
        <w:bidi w:val="0"/>
        <w:spacing w:line="400" w:lineRule="exact"/>
        <w:ind w:firstLine="420" w:firstLineChars="200"/>
        <w:textAlignment w:val="auto"/>
        <w:rPr>
          <w:rFonts w:hint="eastAsia"/>
          <w:b/>
          <w:color w:val="auto"/>
          <w:u w:val="single"/>
        </w:rPr>
      </w:pPr>
      <w:r>
        <w:rPr>
          <w:rFonts w:hint="eastAsia"/>
          <w:color w:val="auto"/>
        </w:rPr>
        <w:t>临时占地的申请及费用：</w:t>
      </w:r>
      <w:r>
        <w:rPr>
          <w:rFonts w:hint="eastAsia"/>
          <w:b/>
          <w:color w:val="auto"/>
          <w:u w:val="single"/>
        </w:rPr>
        <w:t>由承包人负责申请并承担相应费用</w:t>
      </w:r>
      <w:r>
        <w:rPr>
          <w:rFonts w:hint="eastAsia"/>
          <w:color w:val="auto"/>
        </w:rPr>
        <w:t>。</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6.2  发包人提供的施工设备和临时设施：</w:t>
      </w:r>
      <w:r>
        <w:rPr>
          <w:rFonts w:hint="eastAsia"/>
          <w:b/>
          <w:color w:val="auto"/>
          <w:u w:val="single"/>
        </w:rPr>
        <w:t>无。</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7.  交通运输</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7.1  道路通行权和场外设施</w:t>
      </w:r>
    </w:p>
    <w:p>
      <w:pPr>
        <w:pageBreakBefore w:val="0"/>
        <w:kinsoku/>
        <w:wordWrap/>
        <w:overflowPunct/>
        <w:topLinePunct w:val="0"/>
        <w:autoSpaceDE/>
        <w:autoSpaceDN/>
        <w:bidi w:val="0"/>
        <w:spacing w:line="400" w:lineRule="exact"/>
        <w:textAlignment w:val="auto"/>
        <w:rPr>
          <w:rFonts w:hint="eastAsia"/>
          <w:color w:val="auto"/>
        </w:rPr>
      </w:pPr>
      <w:r>
        <w:rPr>
          <w:rFonts w:hint="eastAsia"/>
          <w:color w:val="auto"/>
        </w:rPr>
        <w:t xml:space="preserve">    取得道路通行权、修建场外设施权的办理人： </w:t>
      </w:r>
      <w:r>
        <w:rPr>
          <w:rFonts w:hint="eastAsia"/>
          <w:b/>
          <w:color w:val="auto"/>
          <w:u w:val="single"/>
        </w:rPr>
        <w:t>承包人。</w:t>
      </w:r>
    </w:p>
    <w:p>
      <w:pPr>
        <w:pageBreakBefore w:val="0"/>
        <w:kinsoku/>
        <w:wordWrap/>
        <w:overflowPunct/>
        <w:topLinePunct w:val="0"/>
        <w:autoSpaceDE/>
        <w:autoSpaceDN/>
        <w:bidi w:val="0"/>
        <w:spacing w:line="400" w:lineRule="exact"/>
        <w:textAlignment w:val="auto"/>
        <w:rPr>
          <w:rFonts w:hint="eastAsia"/>
          <w:color w:val="auto"/>
        </w:rPr>
      </w:pPr>
      <w:r>
        <w:rPr>
          <w:rFonts w:hint="eastAsia"/>
          <w:color w:val="auto"/>
        </w:rPr>
        <w:t xml:space="preserve">    相关费用： </w:t>
      </w:r>
      <w:r>
        <w:rPr>
          <w:rFonts w:hint="eastAsia"/>
          <w:b/>
          <w:color w:val="auto"/>
          <w:u w:val="single"/>
        </w:rPr>
        <w:t>由承包人负责，费用由承包人承担。</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7.2  场内施工道路</w:t>
      </w:r>
    </w:p>
    <w:p>
      <w:pPr>
        <w:pageBreakBefore w:val="0"/>
        <w:kinsoku/>
        <w:wordWrap/>
        <w:overflowPunct/>
        <w:topLinePunct w:val="0"/>
        <w:autoSpaceDE/>
        <w:autoSpaceDN/>
        <w:bidi w:val="0"/>
        <w:spacing w:line="400" w:lineRule="exact"/>
        <w:ind w:firstLine="420"/>
        <w:textAlignment w:val="auto"/>
        <w:rPr>
          <w:rFonts w:hint="eastAsia"/>
          <w:color w:val="auto"/>
        </w:rPr>
      </w:pPr>
      <w:r>
        <w:rPr>
          <w:rFonts w:hint="eastAsia"/>
          <w:color w:val="auto"/>
        </w:rPr>
        <w:t xml:space="preserve">7.2.1  临时道路和交通设施的修建、维护、养护和管理人： </w:t>
      </w:r>
      <w:r>
        <w:rPr>
          <w:rFonts w:hint="eastAsia"/>
          <w:b/>
          <w:color w:val="auto"/>
          <w:u w:val="single"/>
        </w:rPr>
        <w:t>承包人。</w:t>
      </w:r>
    </w:p>
    <w:p>
      <w:pPr>
        <w:pageBreakBefore w:val="0"/>
        <w:kinsoku/>
        <w:wordWrap/>
        <w:overflowPunct/>
        <w:topLinePunct w:val="0"/>
        <w:autoSpaceDE/>
        <w:autoSpaceDN/>
        <w:bidi w:val="0"/>
        <w:spacing w:line="400" w:lineRule="exact"/>
        <w:ind w:firstLine="420"/>
        <w:textAlignment w:val="auto"/>
        <w:rPr>
          <w:rFonts w:hint="eastAsia"/>
          <w:color w:val="auto"/>
        </w:rPr>
      </w:pPr>
      <w:r>
        <w:rPr>
          <w:rFonts w:hint="eastAsia"/>
          <w:color w:val="auto"/>
        </w:rPr>
        <w:t>7.2.2  临时道路和交通设施的使用权力及费用：</w:t>
      </w:r>
      <w:r>
        <w:rPr>
          <w:rFonts w:hint="eastAsia"/>
          <w:b/>
          <w:color w:val="auto"/>
          <w:u w:val="single"/>
        </w:rPr>
        <w:t>由承包人自行负责。</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7.4  超大件和超重件的运输</w:t>
      </w:r>
    </w:p>
    <w:p>
      <w:pPr>
        <w:pageBreakBefore w:val="0"/>
        <w:kinsoku/>
        <w:wordWrap/>
        <w:overflowPunct/>
        <w:topLinePunct w:val="0"/>
        <w:autoSpaceDE/>
        <w:autoSpaceDN/>
        <w:bidi w:val="0"/>
        <w:spacing w:line="400" w:lineRule="exact"/>
        <w:textAlignment w:val="auto"/>
        <w:rPr>
          <w:rFonts w:hint="eastAsia"/>
          <w:color w:val="auto"/>
        </w:rPr>
      </w:pPr>
      <w:r>
        <w:rPr>
          <w:rFonts w:hint="eastAsia"/>
          <w:color w:val="auto"/>
        </w:rPr>
        <w:t xml:space="preserve">    道路和桥梁临时加固改造费用和其他有关费用的承担：</w:t>
      </w:r>
      <w:r>
        <w:rPr>
          <w:rFonts w:hint="eastAsia"/>
          <w:b/>
          <w:color w:val="auto"/>
          <w:u w:val="single"/>
        </w:rPr>
        <w:t>由承包人承担。</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8.  测量放线</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8.1  施工控制网</w:t>
      </w:r>
    </w:p>
    <w:p>
      <w:pPr>
        <w:pageBreakBefore w:val="0"/>
        <w:kinsoku/>
        <w:wordWrap/>
        <w:overflowPunct/>
        <w:topLinePunct w:val="0"/>
        <w:autoSpaceDE/>
        <w:autoSpaceDN/>
        <w:bidi w:val="0"/>
        <w:spacing w:line="400" w:lineRule="exact"/>
        <w:textAlignment w:val="auto"/>
        <w:rPr>
          <w:rFonts w:hint="eastAsia"/>
          <w:color w:val="auto"/>
        </w:rPr>
      </w:pPr>
      <w:r>
        <w:rPr>
          <w:rFonts w:hint="eastAsia"/>
          <w:color w:val="auto"/>
        </w:rPr>
        <w:t xml:space="preserve">    8.1.1  发包人提供测量基准点、基准线和水准点的期限：</w:t>
      </w:r>
      <w:r>
        <w:rPr>
          <w:rFonts w:hint="eastAsia"/>
          <w:color w:val="auto"/>
          <w:u w:val="single"/>
        </w:rPr>
        <w:t xml:space="preserve">  开工前7天    </w:t>
      </w:r>
      <w:r>
        <w:rPr>
          <w:rFonts w:hint="eastAsia"/>
          <w:color w:val="auto"/>
        </w:rPr>
        <w:t>。</w:t>
      </w:r>
    </w:p>
    <w:p>
      <w:pPr>
        <w:pageBreakBefore w:val="0"/>
        <w:kinsoku/>
        <w:wordWrap/>
        <w:overflowPunct/>
        <w:topLinePunct w:val="0"/>
        <w:autoSpaceDE/>
        <w:autoSpaceDN/>
        <w:bidi w:val="0"/>
        <w:spacing w:line="400" w:lineRule="exact"/>
        <w:textAlignment w:val="auto"/>
        <w:rPr>
          <w:rFonts w:hint="eastAsia"/>
          <w:color w:val="auto"/>
        </w:rPr>
      </w:pPr>
      <w:r>
        <w:rPr>
          <w:rFonts w:hint="eastAsia"/>
          <w:color w:val="auto"/>
        </w:rPr>
        <w:t xml:space="preserve">    施工控制网的测设： </w:t>
      </w:r>
      <w:r>
        <w:rPr>
          <w:rFonts w:hint="eastAsia"/>
          <w:b/>
          <w:color w:val="auto"/>
          <w:u w:val="single"/>
        </w:rPr>
        <w:t xml:space="preserve">   由承包人负责    </w:t>
      </w:r>
      <w:r>
        <w:rPr>
          <w:rFonts w:hint="eastAsia"/>
          <w:color w:val="auto"/>
        </w:rPr>
        <w:t xml:space="preserve">。 </w:t>
      </w:r>
    </w:p>
    <w:p>
      <w:pPr>
        <w:pageBreakBefore w:val="0"/>
        <w:kinsoku/>
        <w:wordWrap/>
        <w:overflowPunct/>
        <w:topLinePunct w:val="0"/>
        <w:autoSpaceDE/>
        <w:autoSpaceDN/>
        <w:bidi w:val="0"/>
        <w:spacing w:line="400" w:lineRule="exact"/>
        <w:textAlignment w:val="auto"/>
        <w:rPr>
          <w:rFonts w:hint="eastAsia"/>
          <w:color w:val="auto"/>
        </w:rPr>
      </w:pPr>
      <w:r>
        <w:rPr>
          <w:rFonts w:hint="eastAsia"/>
          <w:color w:val="auto"/>
        </w:rPr>
        <w:t xml:space="preserve">    报监理人审批施工控制网资料的期限：</w:t>
      </w:r>
      <w:r>
        <w:rPr>
          <w:rFonts w:hint="eastAsia"/>
          <w:b/>
          <w:color w:val="auto"/>
          <w:u w:val="single"/>
        </w:rPr>
        <w:t xml:space="preserve">   </w:t>
      </w:r>
      <w:r>
        <w:rPr>
          <w:rFonts w:hint="eastAsia"/>
          <w:color w:val="auto"/>
          <w:u w:val="single"/>
        </w:rPr>
        <w:t>开工前7天</w:t>
      </w:r>
      <w:r>
        <w:rPr>
          <w:rFonts w:hint="eastAsia"/>
          <w:b/>
          <w:color w:val="auto"/>
          <w:u w:val="single"/>
        </w:rPr>
        <w:t xml:space="preserve">  </w:t>
      </w:r>
      <w:r>
        <w:rPr>
          <w:rFonts w:hint="eastAsia"/>
          <w:b/>
          <w:color w:val="auto"/>
        </w:rPr>
        <w:t>。</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9.  施工安全、治安保卫和环境保护</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9.2  承包人的施工安全责任</w:t>
      </w:r>
    </w:p>
    <w:p>
      <w:pPr>
        <w:pageBreakBefore w:val="0"/>
        <w:kinsoku/>
        <w:wordWrap/>
        <w:overflowPunct/>
        <w:topLinePunct w:val="0"/>
        <w:autoSpaceDE/>
        <w:autoSpaceDN/>
        <w:bidi w:val="0"/>
        <w:spacing w:line="400" w:lineRule="exact"/>
        <w:ind w:firstLine="420" w:firstLineChars="200"/>
        <w:textAlignment w:val="auto"/>
        <w:rPr>
          <w:rFonts w:hint="eastAsia"/>
          <w:b/>
          <w:color w:val="auto"/>
          <w:u w:val="single"/>
        </w:rPr>
      </w:pPr>
      <w:r>
        <w:rPr>
          <w:rFonts w:hint="eastAsia"/>
          <w:color w:val="auto"/>
        </w:rPr>
        <w:t xml:space="preserve">9.2.1报监理人审批的施工安全措施计划期限： </w:t>
      </w:r>
      <w:r>
        <w:rPr>
          <w:rFonts w:hint="eastAsia"/>
          <w:b/>
          <w:color w:val="auto"/>
          <w:u w:val="single"/>
        </w:rPr>
        <w:t xml:space="preserve"> </w:t>
      </w:r>
      <w:r>
        <w:rPr>
          <w:rFonts w:hint="eastAsia"/>
          <w:color w:val="auto"/>
          <w:u w:val="single"/>
        </w:rPr>
        <w:t>开工前7天</w:t>
      </w:r>
      <w:r>
        <w:rPr>
          <w:rFonts w:hint="eastAsia"/>
          <w:b/>
          <w:color w:val="auto"/>
          <w:u w:val="single"/>
        </w:rPr>
        <w:t xml:space="preserve">  。</w:t>
      </w:r>
    </w:p>
    <w:p>
      <w:pPr>
        <w:pageBreakBefore w:val="0"/>
        <w:kinsoku/>
        <w:wordWrap/>
        <w:overflowPunct/>
        <w:topLinePunct w:val="0"/>
        <w:autoSpaceDE/>
        <w:autoSpaceDN/>
        <w:bidi w:val="0"/>
        <w:spacing w:line="400" w:lineRule="exact"/>
        <w:ind w:firstLine="420" w:firstLineChars="200"/>
        <w:textAlignment w:val="auto"/>
        <w:rPr>
          <w:rFonts w:hint="eastAsia"/>
          <w:b/>
          <w:color w:val="auto"/>
          <w:u w:val="single"/>
        </w:rPr>
      </w:pPr>
      <w:r>
        <w:rPr>
          <w:rFonts w:hint="eastAsia"/>
          <w:color w:val="auto"/>
        </w:rPr>
        <w:t>监理人收到承包人报送的施工安全措施计划后应当在</w:t>
      </w:r>
      <w:r>
        <w:rPr>
          <w:rFonts w:hint="eastAsia"/>
          <w:color w:val="auto"/>
          <w:u w:val="single"/>
        </w:rPr>
        <w:t>　</w:t>
      </w:r>
      <w:r>
        <w:rPr>
          <w:rFonts w:hint="eastAsia"/>
          <w:b/>
          <w:color w:val="auto"/>
          <w:u w:val="single"/>
        </w:rPr>
        <w:t xml:space="preserve">7 </w:t>
      </w:r>
      <w:r>
        <w:rPr>
          <w:rFonts w:hint="eastAsia"/>
          <w:color w:val="auto"/>
          <w:u w:val="single"/>
        </w:rPr>
        <w:t xml:space="preserve"> </w:t>
      </w:r>
      <w:r>
        <w:rPr>
          <w:rFonts w:hint="eastAsia"/>
          <w:color w:val="auto"/>
        </w:rPr>
        <w:t>天内给予批复。</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9.3  治安保卫</w:t>
      </w:r>
    </w:p>
    <w:p>
      <w:pPr>
        <w:pageBreakBefore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color w:val="auto"/>
        </w:rPr>
        <w:t>9.3.1  承包人应当负责统一管理施工场地的治安保卫事项，履行合同工程的治安保卫职责</w:t>
      </w:r>
      <w:r>
        <w:rPr>
          <w:rFonts w:hint="eastAsia" w:ascii="宋体" w:hAnsi="宋体" w:cs="宋体"/>
          <w:color w:val="auto"/>
          <w:szCs w:val="21"/>
        </w:rPr>
        <w:t>，其费用由</w:t>
      </w:r>
      <w:r>
        <w:rPr>
          <w:rFonts w:hint="eastAsia" w:ascii="宋体" w:hAnsi="宋体" w:cs="宋体"/>
          <w:color w:val="auto"/>
          <w:szCs w:val="21"/>
          <w:u w:val="single"/>
        </w:rPr>
        <w:t xml:space="preserve">     </w:t>
      </w:r>
      <w:r>
        <w:rPr>
          <w:rFonts w:hint="eastAsia" w:ascii="宋体" w:hAnsi="宋体" w:cs="宋体"/>
          <w:color w:val="auto"/>
          <w:szCs w:val="21"/>
        </w:rPr>
        <w:t>承担。</w:t>
      </w:r>
    </w:p>
    <w:p>
      <w:pPr>
        <w:pageBreakBefore w:val="0"/>
        <w:kinsoku/>
        <w:wordWrap/>
        <w:overflowPunct/>
        <w:topLinePunct w:val="0"/>
        <w:autoSpaceDE/>
        <w:autoSpaceDN/>
        <w:bidi w:val="0"/>
        <w:spacing w:line="400" w:lineRule="exact"/>
        <w:ind w:firstLine="420" w:firstLineChars="200"/>
        <w:textAlignment w:val="auto"/>
        <w:rPr>
          <w:rFonts w:hint="eastAsia"/>
          <w:color w:val="auto"/>
        </w:rPr>
      </w:pPr>
      <w:r>
        <w:rPr>
          <w:rFonts w:hint="eastAsia"/>
          <w:color w:val="auto"/>
        </w:rPr>
        <w:t>9.3.3  施工场地治安管理计划和突发治安事件紧急预案的编制责任人：</w:t>
      </w:r>
      <w:r>
        <w:rPr>
          <w:rFonts w:hint="eastAsia"/>
          <w:color w:val="auto"/>
          <w:u w:val="single"/>
        </w:rPr>
        <w:t xml:space="preserve"> </w:t>
      </w:r>
      <w:r>
        <w:rPr>
          <w:rFonts w:hint="eastAsia"/>
          <w:b/>
          <w:color w:val="auto"/>
          <w:u w:val="single"/>
        </w:rPr>
        <w:t xml:space="preserve">承包人 </w:t>
      </w:r>
      <w:r>
        <w:rPr>
          <w:rFonts w:hint="eastAsia"/>
          <w:b/>
          <w:color w:val="auto"/>
        </w:rPr>
        <w:t>。</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9.4  环境保护</w:t>
      </w:r>
    </w:p>
    <w:p>
      <w:pPr>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auto"/>
          <w:szCs w:val="21"/>
        </w:rPr>
      </w:pPr>
      <w:r>
        <w:rPr>
          <w:rFonts w:hint="eastAsia"/>
          <w:color w:val="auto"/>
        </w:rPr>
        <w:t>9.4.2</w:t>
      </w:r>
      <w:r>
        <w:rPr>
          <w:rFonts w:hint="eastAsia" w:ascii="宋体" w:hAnsi="宋体" w:cs="宋体"/>
          <w:color w:val="auto"/>
          <w:szCs w:val="21"/>
        </w:rPr>
        <w:t>施工环保措施计划报送监理人审批的时间：</w:t>
      </w:r>
      <w:r>
        <w:rPr>
          <w:rFonts w:hint="eastAsia" w:ascii="宋体" w:hAnsi="宋体" w:cs="宋体"/>
          <w:b/>
          <w:color w:val="auto"/>
          <w:szCs w:val="21"/>
          <w:u w:val="single"/>
        </w:rPr>
        <w:t xml:space="preserve">  </w:t>
      </w:r>
      <w:r>
        <w:rPr>
          <w:rFonts w:hint="eastAsia"/>
          <w:color w:val="auto"/>
          <w:u w:val="single"/>
        </w:rPr>
        <w:t>开工前7天</w:t>
      </w:r>
      <w:r>
        <w:rPr>
          <w:rFonts w:hint="eastAsia" w:ascii="宋体" w:hAnsi="宋体" w:cs="宋体"/>
          <w:b/>
          <w:color w:val="auto"/>
          <w:szCs w:val="21"/>
          <w:u w:val="single"/>
        </w:rPr>
        <w:t>　</w:t>
      </w:r>
      <w:r>
        <w:rPr>
          <w:rFonts w:hint="eastAsia" w:ascii="宋体" w:hAnsi="宋体" w:cs="宋体"/>
          <w:color w:val="auto"/>
          <w:szCs w:val="21"/>
        </w:rPr>
        <w:t>。</w:t>
      </w:r>
    </w:p>
    <w:p>
      <w:pPr>
        <w:pageBreakBefore w:val="0"/>
        <w:kinsoku/>
        <w:wordWrap/>
        <w:overflowPunct/>
        <w:topLinePunct w:val="0"/>
        <w:autoSpaceDE/>
        <w:autoSpaceDN/>
        <w:bidi w:val="0"/>
        <w:adjustRightInd w:val="0"/>
        <w:snapToGrid w:val="0"/>
        <w:spacing w:line="400" w:lineRule="exact"/>
        <w:textAlignment w:val="auto"/>
        <w:rPr>
          <w:rFonts w:hint="eastAsia" w:ascii="宋体" w:hAnsi="宋体" w:cs="宋体"/>
          <w:color w:val="auto"/>
          <w:szCs w:val="21"/>
        </w:rPr>
      </w:pPr>
      <w:r>
        <w:rPr>
          <w:rFonts w:hint="eastAsia" w:ascii="宋体" w:hAnsi="宋体" w:cs="宋体"/>
          <w:color w:val="auto"/>
          <w:szCs w:val="21"/>
        </w:rPr>
        <w:t>　　监理人收到承包人报送的施工环保措施计划后应当在</w:t>
      </w:r>
      <w:r>
        <w:rPr>
          <w:rFonts w:hint="eastAsia" w:ascii="宋体" w:hAnsi="宋体" w:cs="宋体"/>
          <w:b/>
          <w:color w:val="auto"/>
          <w:szCs w:val="21"/>
          <w:u w:val="single"/>
        </w:rPr>
        <w:t xml:space="preserve">　7   </w:t>
      </w:r>
      <w:r>
        <w:rPr>
          <w:rFonts w:hint="eastAsia" w:ascii="宋体" w:hAnsi="宋体" w:cs="宋体"/>
          <w:color w:val="auto"/>
          <w:szCs w:val="21"/>
        </w:rPr>
        <w:t>天内给予批复。</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10.  进度计划</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10.1  合同进度计划</w:t>
      </w:r>
    </w:p>
    <w:p>
      <w:pPr>
        <w:pageBreakBefore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w:t>
      </w:r>
      <w:r>
        <w:rPr>
          <w:rFonts w:hint="eastAsia" w:ascii="宋体" w:hAnsi="宋体" w:cs="宋体"/>
          <w:color w:val="auto"/>
          <w:szCs w:val="21"/>
        </w:rPr>
        <w:t>承包人应当在收到监理人按照通用合同条款第11.1.1项发出的开工通知后</w:t>
      </w:r>
      <w:r>
        <w:rPr>
          <w:rFonts w:hint="eastAsia" w:ascii="宋体" w:hAnsi="宋体" w:cs="宋体"/>
          <w:color w:val="auto"/>
          <w:szCs w:val="21"/>
          <w:u w:val="single"/>
        </w:rPr>
        <w:t xml:space="preserve"> 7 </w:t>
      </w:r>
      <w:r>
        <w:rPr>
          <w:rFonts w:hint="eastAsia" w:ascii="宋体" w:hAnsi="宋体" w:cs="宋体"/>
          <w:color w:val="auto"/>
          <w:szCs w:val="21"/>
        </w:rPr>
        <w:t>天内，编制详细的施工进度计划和施工方案说明并报送监理人。</w:t>
      </w:r>
    </w:p>
    <w:p>
      <w:pPr>
        <w:pageBreakBefore w:val="0"/>
        <w:kinsoku/>
        <w:wordWrap/>
        <w:overflowPunct/>
        <w:topLinePunct w:val="0"/>
        <w:autoSpaceDE/>
        <w:autoSpaceDN/>
        <w:bidi w:val="0"/>
        <w:spacing w:line="400" w:lineRule="exact"/>
        <w:ind w:firstLine="420" w:firstLineChars="200"/>
        <w:textAlignment w:val="auto"/>
        <w:rPr>
          <w:rFonts w:hint="eastAsia" w:ascii="宋体" w:hAnsi="宋体" w:cs="宋体"/>
          <w:b/>
          <w:color w:val="auto"/>
          <w:szCs w:val="21"/>
          <w:u w:val="single"/>
        </w:rPr>
      </w:pPr>
      <w:r>
        <w:rPr>
          <w:rFonts w:hint="eastAsia" w:ascii="宋体" w:hAnsi="宋体" w:cs="宋体"/>
          <w:color w:val="auto"/>
          <w:szCs w:val="21"/>
        </w:rPr>
        <w:t>承包人编制施工进度计划和施工方案说明的内容：</w:t>
      </w:r>
      <w:r>
        <w:rPr>
          <w:rFonts w:hint="eastAsia" w:ascii="宋体" w:hAnsi="宋体" w:cs="宋体"/>
          <w:b/>
          <w:color w:val="auto"/>
          <w:szCs w:val="21"/>
          <w:u w:val="single"/>
        </w:rPr>
        <w:t>应采用文字并结合图表形式说明施工方法； 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施工进度计划中还应载明要求发包人组织设</w:t>
      </w:r>
      <w:r>
        <w:rPr>
          <w:rFonts w:hint="eastAsia" w:ascii="宋体" w:hAnsi="宋体" w:cs="宋体"/>
          <w:b/>
          <w:color w:val="auto"/>
          <w:szCs w:val="21"/>
          <w:u w:val="single"/>
          <w:lang w:eastAsia="zh-CN"/>
        </w:rPr>
        <w:t>计入</w:t>
      </w:r>
      <w:r>
        <w:rPr>
          <w:rFonts w:hint="eastAsia" w:ascii="宋体" w:hAnsi="宋体" w:cs="宋体"/>
          <w:b/>
          <w:color w:val="auto"/>
          <w:szCs w:val="21"/>
          <w:u w:val="single"/>
        </w:rPr>
        <w:t>进行阶段性工程设计交底的时间。</w:t>
      </w:r>
    </w:p>
    <w:p>
      <w:pPr>
        <w:pageBreakBefore w:val="0"/>
        <w:kinsoku/>
        <w:wordWrap/>
        <w:overflowPunct/>
        <w:topLinePunct w:val="0"/>
        <w:autoSpaceDE/>
        <w:autoSpaceDN/>
        <w:bidi w:val="0"/>
        <w:spacing w:line="400" w:lineRule="exact"/>
        <w:ind w:firstLine="420" w:firstLineChars="200"/>
        <w:textAlignment w:val="auto"/>
        <w:rPr>
          <w:rFonts w:hint="eastAsia" w:ascii="宋体" w:hAnsi="宋体" w:cs="宋体"/>
          <w:b/>
          <w:color w:val="auto"/>
          <w:szCs w:val="21"/>
          <w:u w:val="single"/>
        </w:rPr>
      </w:pPr>
      <w:r>
        <w:rPr>
          <w:rFonts w:hint="eastAsia" w:ascii="宋体" w:hAnsi="宋体" w:cs="宋体"/>
          <w:color w:val="auto"/>
          <w:szCs w:val="21"/>
        </w:rPr>
        <w:t>(2</w:t>
      </w:r>
      <w:r>
        <w:rPr>
          <w:rFonts w:hint="eastAsia" w:ascii="宋体" w:hAnsi="宋体" w:cs="宋体"/>
          <w:color w:val="auto"/>
          <w:szCs w:val="21"/>
          <w:lang w:eastAsia="zh-CN"/>
        </w:rPr>
        <w:t>)</w:t>
      </w:r>
      <w:r>
        <w:rPr>
          <w:rFonts w:hint="eastAsia" w:ascii="宋体" w:hAnsi="宋体" w:cs="宋体"/>
          <w:color w:val="auto"/>
          <w:szCs w:val="21"/>
        </w:rPr>
        <w:t>监理人批复或对施工进度计划和施工方案说明提出修改意见的期限：</w:t>
      </w:r>
      <w:r>
        <w:rPr>
          <w:rFonts w:hint="eastAsia" w:ascii="宋体" w:hAnsi="宋体" w:cs="宋体"/>
          <w:b/>
          <w:color w:val="auto"/>
          <w:szCs w:val="21"/>
          <w:u w:val="single"/>
        </w:rPr>
        <w:t>自监理人收到承包人报送的相关进度计划和施工方案说明后7天内。</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11.  开工和竣工</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11.4  异常恶劣的气候条件</w:t>
      </w:r>
    </w:p>
    <w:p>
      <w:pPr>
        <w:pageBreakBefore w:val="0"/>
        <w:kinsoku/>
        <w:wordWrap/>
        <w:overflowPunct/>
        <w:topLinePunct w:val="0"/>
        <w:autoSpaceDE/>
        <w:autoSpaceDN/>
        <w:bidi w:val="0"/>
        <w:spacing w:line="400" w:lineRule="exact"/>
        <w:ind w:firstLine="420" w:firstLineChars="200"/>
        <w:textAlignment w:val="auto"/>
        <w:rPr>
          <w:rFonts w:hint="eastAsia"/>
          <w:color w:val="auto"/>
        </w:rPr>
      </w:pPr>
      <w:r>
        <w:rPr>
          <w:rFonts w:hint="eastAsia"/>
          <w:color w:val="auto"/>
        </w:rPr>
        <w:t>异常恶劣的气候条件的范围：</w:t>
      </w:r>
      <w:r>
        <w:rPr>
          <w:rFonts w:hint="eastAsia"/>
          <w:b/>
          <w:color w:val="auto"/>
          <w:u w:val="single"/>
        </w:rPr>
        <w:t xml:space="preserve">  按重庆市气象部门公布的50年一遇的自然灾害（如台风、雪灾、洪水等） 。</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11.5  承包人的工期延误</w:t>
      </w:r>
    </w:p>
    <w:p>
      <w:pPr>
        <w:pageBreakBefore w:val="0"/>
        <w:kinsoku/>
        <w:wordWrap/>
        <w:overflowPunct/>
        <w:topLinePunct w:val="0"/>
        <w:autoSpaceDE/>
        <w:autoSpaceDN/>
        <w:bidi w:val="0"/>
        <w:spacing w:line="400" w:lineRule="exact"/>
        <w:ind w:firstLine="420" w:firstLineChars="200"/>
        <w:textAlignment w:val="auto"/>
        <w:rPr>
          <w:rFonts w:hint="eastAsia"/>
          <w:color w:val="auto"/>
        </w:rPr>
      </w:pPr>
      <w:r>
        <w:rPr>
          <w:rFonts w:hint="eastAsia"/>
          <w:color w:val="auto"/>
        </w:rPr>
        <w:t>由于承包人原因造成不能按期竣工的，发包人有权得到按本款约定的下列标准和方法计算的逾期竣工违约金，但最终违约金的金额不能超过本款约定的逾期竣工违约金最高限额。</w:t>
      </w:r>
    </w:p>
    <w:p>
      <w:pPr>
        <w:pageBreakBefore w:val="0"/>
        <w:kinsoku/>
        <w:wordWrap/>
        <w:overflowPunct/>
        <w:topLinePunct w:val="0"/>
        <w:autoSpaceDE/>
        <w:autoSpaceDN/>
        <w:bidi w:val="0"/>
        <w:spacing w:line="400" w:lineRule="exact"/>
        <w:ind w:firstLine="420" w:firstLineChars="200"/>
        <w:textAlignment w:val="auto"/>
        <w:rPr>
          <w:rFonts w:hint="eastAsia"/>
          <w:color w:val="auto"/>
        </w:rPr>
      </w:pPr>
      <w:r>
        <w:rPr>
          <w:rFonts w:hint="eastAsia"/>
          <w:color w:val="auto"/>
        </w:rPr>
        <w:t>逾期竣工违约金的计算方法：</w:t>
      </w:r>
      <w:r>
        <w:rPr>
          <w:rFonts w:hint="eastAsia"/>
          <w:color w:val="auto"/>
          <w:u w:val="single"/>
        </w:rPr>
        <w:t>按</w:t>
      </w:r>
      <w:r>
        <w:rPr>
          <w:rFonts w:hint="eastAsia"/>
          <w:color w:val="auto"/>
          <w:u w:val="single"/>
          <w:lang w:val="en-US" w:eastAsia="zh-CN"/>
        </w:rPr>
        <w:t>500</w:t>
      </w:r>
      <w:r>
        <w:rPr>
          <w:rFonts w:hint="eastAsia"/>
          <w:color w:val="auto"/>
          <w:u w:val="single"/>
        </w:rPr>
        <w:t>元/天记违约金</w:t>
      </w:r>
      <w:r>
        <w:rPr>
          <w:rFonts w:hint="eastAsia"/>
          <w:color w:val="auto"/>
        </w:rPr>
        <w:t>。</w:t>
      </w:r>
    </w:p>
    <w:p>
      <w:pPr>
        <w:pageBreakBefore w:val="0"/>
        <w:kinsoku/>
        <w:wordWrap/>
        <w:overflowPunct/>
        <w:topLinePunct w:val="0"/>
        <w:autoSpaceDE/>
        <w:autoSpaceDN/>
        <w:bidi w:val="0"/>
        <w:spacing w:line="400" w:lineRule="exact"/>
        <w:ind w:firstLine="420" w:firstLineChars="200"/>
        <w:textAlignment w:val="auto"/>
        <w:rPr>
          <w:rFonts w:hint="eastAsia"/>
          <w:color w:val="auto"/>
        </w:rPr>
      </w:pPr>
      <w:r>
        <w:rPr>
          <w:rFonts w:hint="eastAsia"/>
          <w:color w:val="auto"/>
        </w:rPr>
        <w:t>逾期竣工违约金的最高限额：</w:t>
      </w:r>
      <w:r>
        <w:rPr>
          <w:rFonts w:hint="eastAsia" w:ascii="宋体" w:hAnsi="宋体"/>
          <w:color w:val="auto"/>
          <w:u w:val="single"/>
        </w:rPr>
        <w:t xml:space="preserve">  签约合同价的3% </w:t>
      </w:r>
      <w:r>
        <w:rPr>
          <w:rFonts w:hint="eastAsia"/>
          <w:color w:val="auto"/>
          <w:u w:val="single"/>
        </w:rPr>
        <w:t xml:space="preserve"> </w:t>
      </w:r>
      <w:r>
        <w:rPr>
          <w:rFonts w:hint="eastAsia"/>
          <w:color w:val="auto"/>
        </w:rPr>
        <w:t>。</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11.6  工期提前</w:t>
      </w:r>
    </w:p>
    <w:p>
      <w:pPr>
        <w:pageBreakBefore w:val="0"/>
        <w:kinsoku/>
        <w:wordWrap/>
        <w:overflowPunct/>
        <w:topLinePunct w:val="0"/>
        <w:autoSpaceDE/>
        <w:autoSpaceDN/>
        <w:bidi w:val="0"/>
        <w:spacing w:line="400" w:lineRule="exact"/>
        <w:ind w:firstLine="420" w:firstLineChars="200"/>
        <w:textAlignment w:val="auto"/>
        <w:rPr>
          <w:rFonts w:hint="eastAsia"/>
          <w:b/>
          <w:color w:val="auto"/>
        </w:rPr>
      </w:pPr>
      <w:r>
        <w:rPr>
          <w:rFonts w:hint="eastAsia"/>
          <w:color w:val="auto"/>
        </w:rPr>
        <w:t>提前竣工的奖励办法：</w:t>
      </w:r>
      <w:r>
        <w:rPr>
          <w:rFonts w:hint="eastAsia"/>
          <w:b/>
          <w:color w:val="auto"/>
          <w:u w:val="single"/>
        </w:rPr>
        <w:t xml:space="preserve"> </w:t>
      </w:r>
      <w:r>
        <w:rPr>
          <w:rFonts w:hint="eastAsia" w:eastAsia="宋体"/>
          <w:b/>
          <w:color w:val="auto"/>
          <w:u w:val="single"/>
        </w:rPr>
        <w:t>若总工期比合同工期提前10%及以上，竣工验收合格30天内支付至合同价款的70%；竣工验收合格后1年内付至合同价款的85%；审计完成后30天内支付至审定金额的97%；余下3%待质保期（竣工验收合格后两年）满后无质量问</w:t>
      </w:r>
      <w:r>
        <w:rPr>
          <w:rFonts w:hint="eastAsia"/>
          <w:b/>
          <w:color w:val="auto"/>
          <w:u w:val="single"/>
        </w:rPr>
        <w:t xml:space="preserve">  </w:t>
      </w:r>
      <w:r>
        <w:rPr>
          <w:rFonts w:hint="eastAsia"/>
          <w:b/>
          <w:color w:val="auto"/>
        </w:rPr>
        <w:t>。</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12．暂停施工</w:t>
      </w:r>
    </w:p>
    <w:p>
      <w:pPr>
        <w:pageBreakBefore w:val="0"/>
        <w:kinsoku/>
        <w:wordWrap/>
        <w:overflowPunct/>
        <w:topLinePunct w:val="0"/>
        <w:autoSpaceDE/>
        <w:autoSpaceDN/>
        <w:bidi w:val="0"/>
        <w:spacing w:line="400" w:lineRule="exact"/>
        <w:ind w:firstLine="420" w:firstLineChars="200"/>
        <w:textAlignment w:val="auto"/>
        <w:rPr>
          <w:rFonts w:hint="eastAsia"/>
          <w:color w:val="auto"/>
        </w:rPr>
      </w:pPr>
      <w:r>
        <w:rPr>
          <w:rFonts w:hint="eastAsia"/>
          <w:color w:val="auto"/>
        </w:rPr>
        <w:t>12.1 承包人暂停施工的责任：</w:t>
      </w:r>
      <w:r>
        <w:rPr>
          <w:rFonts w:hint="eastAsia"/>
          <w:b/>
          <w:color w:val="auto"/>
          <w:u w:val="single"/>
        </w:rPr>
        <w:t xml:space="preserve"> 非发包人的原因由承包人负责。</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13．工程质量</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13.2 承包人的质量检查</w:t>
      </w:r>
    </w:p>
    <w:p>
      <w:pPr>
        <w:pageBreakBefore w:val="0"/>
        <w:kinsoku/>
        <w:wordWrap/>
        <w:overflowPunct/>
        <w:topLinePunct w:val="0"/>
        <w:autoSpaceDE/>
        <w:autoSpaceDN/>
        <w:bidi w:val="0"/>
        <w:spacing w:line="400" w:lineRule="exact"/>
        <w:ind w:firstLine="411" w:firstLineChars="196"/>
        <w:textAlignment w:val="auto"/>
        <w:rPr>
          <w:rFonts w:hint="eastAsia"/>
          <w:b/>
          <w:color w:val="auto"/>
          <w:u w:val="single"/>
        </w:rPr>
      </w:pPr>
      <w:r>
        <w:rPr>
          <w:rFonts w:hint="eastAsia" w:ascii="宋体" w:hAnsi="宋体" w:cs="宋体"/>
          <w:color w:val="auto"/>
          <w:szCs w:val="21"/>
        </w:rPr>
        <w:t>承包人提交工程质量保证措施文件的期限：</w:t>
      </w:r>
      <w:r>
        <w:rPr>
          <w:rFonts w:hint="eastAsia"/>
          <w:b/>
          <w:color w:val="auto"/>
          <w:u w:val="single"/>
        </w:rPr>
        <w:t xml:space="preserve">  开工前7天</w:t>
      </w:r>
      <w:r>
        <w:rPr>
          <w:rFonts w:hint="eastAsia"/>
          <w:b/>
          <w:color w:val="auto"/>
        </w:rPr>
        <w:t>。</w:t>
      </w:r>
    </w:p>
    <w:p>
      <w:pPr>
        <w:pageBreakBefore w:val="0"/>
        <w:kinsoku/>
        <w:wordWrap/>
        <w:overflowPunct/>
        <w:topLinePunct w:val="0"/>
        <w:autoSpaceDE/>
        <w:autoSpaceDN/>
        <w:bidi w:val="0"/>
        <w:spacing w:line="400" w:lineRule="exact"/>
        <w:ind w:firstLine="411" w:firstLineChars="196"/>
        <w:textAlignment w:val="auto"/>
        <w:rPr>
          <w:rFonts w:hint="eastAsia"/>
          <w:bCs/>
          <w:color w:val="auto"/>
        </w:rPr>
      </w:pPr>
      <w:r>
        <w:rPr>
          <w:rFonts w:hint="eastAsia"/>
          <w:bCs/>
          <w:color w:val="auto"/>
        </w:rPr>
        <w:t>监理人收到承包人报送的施工环保措施计划后应当在</w:t>
      </w:r>
      <w:r>
        <w:rPr>
          <w:rFonts w:hint="eastAsia"/>
          <w:bCs/>
          <w:color w:val="auto"/>
          <w:u w:val="single"/>
        </w:rPr>
        <w:t xml:space="preserve"> 3 </w:t>
      </w:r>
      <w:r>
        <w:rPr>
          <w:rFonts w:hint="eastAsia"/>
          <w:bCs/>
          <w:color w:val="auto"/>
        </w:rPr>
        <w:t>天内给予批复。</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13.5 工程隐蔽部位覆盖前的检查</w:t>
      </w:r>
    </w:p>
    <w:p>
      <w:pPr>
        <w:pageBreakBefore w:val="0"/>
        <w:kinsoku/>
        <w:wordWrap/>
        <w:overflowPunct/>
        <w:topLinePunct w:val="0"/>
        <w:autoSpaceDE/>
        <w:autoSpaceDN/>
        <w:bidi w:val="0"/>
        <w:spacing w:line="400" w:lineRule="exact"/>
        <w:ind w:firstLine="420" w:firstLineChars="200"/>
        <w:textAlignment w:val="auto"/>
        <w:rPr>
          <w:rFonts w:hint="eastAsia" w:ascii="宋体" w:hAnsi="宋体" w:cs="宋体"/>
          <w:b/>
          <w:color w:val="auto"/>
          <w:szCs w:val="21"/>
          <w:u w:val="single"/>
        </w:rPr>
      </w:pPr>
      <w:r>
        <w:rPr>
          <w:rFonts w:hint="eastAsia" w:ascii="宋体" w:hAnsi="宋体" w:cs="宋体"/>
          <w:color w:val="auto"/>
          <w:szCs w:val="21"/>
        </w:rPr>
        <w:t>13.5.1监理人对工程隐蔽部位进行检查的期限：</w:t>
      </w:r>
      <w:r>
        <w:rPr>
          <w:rFonts w:hint="eastAsia" w:ascii="宋体" w:hAnsi="宋体" w:cs="宋体"/>
          <w:b/>
          <w:color w:val="auto"/>
          <w:szCs w:val="21"/>
          <w:u w:val="single"/>
        </w:rPr>
        <w:t>工程部位隐蔽前24小时以书面形式通知发包人和监理人验收。</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15.  变更</w:t>
      </w:r>
    </w:p>
    <w:p>
      <w:pPr>
        <w:pageBreakBefore w:val="0"/>
        <w:kinsoku/>
        <w:wordWrap/>
        <w:overflowPunct/>
        <w:topLinePunct w:val="0"/>
        <w:autoSpaceDE/>
        <w:autoSpaceDN/>
        <w:bidi w:val="0"/>
        <w:spacing w:line="400" w:lineRule="exact"/>
        <w:ind w:firstLine="420" w:firstLineChars="200"/>
        <w:textAlignment w:val="auto"/>
        <w:rPr>
          <w:rFonts w:hint="eastAsia"/>
          <w:color w:val="auto"/>
        </w:rPr>
      </w:pPr>
      <w:r>
        <w:rPr>
          <w:rFonts w:hint="eastAsia"/>
          <w:color w:val="auto"/>
        </w:rPr>
        <w:t>所有工程变更等现场签证的确定只有经发包人审批同意后才能生效。</w:t>
      </w:r>
    </w:p>
    <w:p>
      <w:pPr>
        <w:pageBreakBefore w:val="0"/>
        <w:kinsoku/>
        <w:wordWrap/>
        <w:overflowPunct/>
        <w:topLinePunct w:val="0"/>
        <w:autoSpaceDE/>
        <w:autoSpaceDN/>
        <w:bidi w:val="0"/>
        <w:spacing w:line="400" w:lineRule="exact"/>
        <w:ind w:firstLine="420" w:firstLineChars="200"/>
        <w:textAlignment w:val="auto"/>
        <w:rPr>
          <w:rFonts w:hint="eastAsia"/>
          <w:color w:val="auto"/>
        </w:rPr>
      </w:pPr>
      <w:r>
        <w:rPr>
          <w:rFonts w:hint="eastAsia"/>
          <w:color w:val="auto"/>
        </w:rPr>
        <w:t>15.1 变更的范围和内容：</w:t>
      </w:r>
      <w:r>
        <w:rPr>
          <w:rFonts w:hint="eastAsia"/>
          <w:b/>
          <w:color w:val="auto"/>
          <w:u w:val="single"/>
        </w:rPr>
        <w:t>变更的范围和内容以发包人认可为准。</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15.3  变更程序</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15.3.2  变更估价</w:t>
      </w:r>
    </w:p>
    <w:p>
      <w:pPr>
        <w:pageBreakBefore w:val="0"/>
        <w:kinsoku/>
        <w:wordWrap/>
        <w:overflowPunct/>
        <w:topLinePunct w:val="0"/>
        <w:autoSpaceDE/>
        <w:autoSpaceDN/>
        <w:bidi w:val="0"/>
        <w:adjustRightInd w:val="0"/>
        <w:snapToGrid w:val="0"/>
        <w:spacing w:line="400" w:lineRule="exact"/>
        <w:ind w:firstLine="462" w:firstLineChars="220"/>
        <w:textAlignment w:val="auto"/>
        <w:rPr>
          <w:rFonts w:hint="eastAsia" w:ascii="宋体" w:hAnsi="宋体" w:cs="宋体"/>
          <w:color w:val="auto"/>
          <w:szCs w:val="21"/>
          <w:u w:val="single"/>
        </w:rPr>
      </w:pPr>
      <w:r>
        <w:rPr>
          <w:rFonts w:hint="eastAsia" w:ascii="宋体" w:hAnsi="宋体" w:cs="宋体"/>
          <w:color w:val="auto"/>
          <w:szCs w:val="21"/>
        </w:rPr>
        <w:t>承包人提交变更报价书的期限：</w:t>
      </w:r>
      <w:r>
        <w:rPr>
          <w:rFonts w:hint="eastAsia" w:ascii="宋体" w:hAnsi="宋体" w:cs="宋体"/>
          <w:color w:val="auto"/>
          <w:szCs w:val="21"/>
          <w:u w:val="single"/>
        </w:rPr>
        <w:t>承包人应在收到变更指示或变更意向书后的 7天内，向监理人提交变更报价书。</w:t>
      </w:r>
    </w:p>
    <w:p>
      <w:pPr>
        <w:pageBreakBefore w:val="0"/>
        <w:kinsoku/>
        <w:wordWrap/>
        <w:overflowPunct/>
        <w:topLinePunct w:val="0"/>
        <w:autoSpaceDE/>
        <w:autoSpaceDN/>
        <w:bidi w:val="0"/>
        <w:adjustRightInd w:val="0"/>
        <w:snapToGrid w:val="0"/>
        <w:spacing w:line="400" w:lineRule="exact"/>
        <w:ind w:firstLine="462" w:firstLineChars="220"/>
        <w:textAlignment w:val="auto"/>
        <w:rPr>
          <w:rFonts w:hint="eastAsia" w:ascii="宋体" w:hAnsi="宋体" w:cs="宋体"/>
          <w:color w:val="auto"/>
          <w:szCs w:val="21"/>
          <w:u w:val="single"/>
        </w:rPr>
      </w:pPr>
      <w:r>
        <w:rPr>
          <w:rFonts w:hint="eastAsia" w:ascii="宋体" w:hAnsi="宋体" w:cs="宋体"/>
          <w:color w:val="auto"/>
          <w:szCs w:val="21"/>
        </w:rPr>
        <w:t>监理人商定或确定变更价格的期限：</w:t>
      </w:r>
      <w:r>
        <w:rPr>
          <w:rFonts w:hint="eastAsia" w:ascii="宋体" w:hAnsi="宋体" w:cs="宋体"/>
          <w:color w:val="auto"/>
          <w:szCs w:val="21"/>
          <w:u w:val="single"/>
        </w:rPr>
        <w:t xml:space="preserve">  7天  </w:t>
      </w:r>
      <w:r>
        <w:rPr>
          <w:rFonts w:hint="eastAsia" w:ascii="宋体" w:hAnsi="宋体" w:cs="宋体"/>
          <w:color w:val="auto"/>
          <w:szCs w:val="21"/>
        </w:rPr>
        <w:t>。</w:t>
      </w:r>
    </w:p>
    <w:p>
      <w:pPr>
        <w:pageBreakBefore w:val="0"/>
        <w:kinsoku/>
        <w:wordWrap/>
        <w:overflowPunct/>
        <w:topLinePunct w:val="0"/>
        <w:autoSpaceDE/>
        <w:autoSpaceDN/>
        <w:bidi w:val="0"/>
        <w:adjustRightInd w:val="0"/>
        <w:snapToGrid w:val="0"/>
        <w:spacing w:line="400" w:lineRule="exact"/>
        <w:textAlignment w:val="auto"/>
        <w:rPr>
          <w:rFonts w:hint="eastAsia" w:ascii="宋体" w:hAnsi="宋体" w:cs="宋体"/>
          <w:color w:val="auto"/>
          <w:szCs w:val="21"/>
          <w:u w:val="single"/>
        </w:rPr>
      </w:pPr>
      <w:r>
        <w:rPr>
          <w:rFonts w:hint="eastAsia"/>
          <w:b/>
          <w:color w:val="auto"/>
        </w:rPr>
        <w:t>15.4变更的估价原则</w:t>
      </w:r>
    </w:p>
    <w:p>
      <w:pPr>
        <w:pageBreakBefore w:val="0"/>
        <w:kinsoku/>
        <w:wordWrap/>
        <w:overflowPunct/>
        <w:topLinePunct w:val="0"/>
        <w:autoSpaceDE/>
        <w:autoSpaceDN/>
        <w:bidi w:val="0"/>
        <w:spacing w:line="400" w:lineRule="exact"/>
        <w:ind w:firstLine="420" w:firstLineChars="200"/>
        <w:textAlignment w:val="auto"/>
        <w:rPr>
          <w:rFonts w:hint="eastAsia"/>
          <w:color w:val="auto"/>
        </w:rPr>
      </w:pPr>
      <w:r>
        <w:rPr>
          <w:rFonts w:hint="eastAsia"/>
          <w:color w:val="auto"/>
        </w:rPr>
        <w:t>（1）工程内容与已标价工程量清单中有相同的子项或类似子项，则按投标时的相同子项或类似子项的</w:t>
      </w:r>
      <w:r>
        <w:rPr>
          <w:rFonts w:hint="eastAsia"/>
          <w:color w:val="auto"/>
          <w:lang w:val="en-US" w:eastAsia="zh-CN"/>
        </w:rPr>
        <w:t>全费用</w:t>
      </w:r>
      <w:r>
        <w:rPr>
          <w:rFonts w:hint="eastAsia"/>
          <w:color w:val="auto"/>
        </w:rPr>
        <w:t>综合单价执行（类似子项及其</w:t>
      </w:r>
      <w:r>
        <w:rPr>
          <w:rFonts w:hint="eastAsia"/>
          <w:color w:val="auto"/>
          <w:lang w:val="en-US" w:eastAsia="zh-CN"/>
        </w:rPr>
        <w:t>全费用</w:t>
      </w:r>
      <w:r>
        <w:rPr>
          <w:rFonts w:hint="eastAsia"/>
          <w:color w:val="auto"/>
        </w:rPr>
        <w:t>综合单价由发包人审定）；</w:t>
      </w:r>
    </w:p>
    <w:p>
      <w:pPr>
        <w:pageBreakBefore w:val="0"/>
        <w:kinsoku/>
        <w:wordWrap/>
        <w:overflowPunct/>
        <w:topLinePunct w:val="0"/>
        <w:bidi w:val="0"/>
        <w:spacing w:line="400" w:lineRule="exact"/>
        <w:ind w:firstLine="420" w:firstLineChars="200"/>
        <w:jc w:val="left"/>
        <w:textAlignment w:val="auto"/>
        <w:rPr>
          <w:rFonts w:hint="eastAsia" w:eastAsia="宋体"/>
          <w:color w:val="auto"/>
          <w:szCs w:val="22"/>
          <w:lang w:eastAsia="zh-CN"/>
        </w:rPr>
      </w:pPr>
      <w:r>
        <w:rPr>
          <w:rFonts w:hint="eastAsia"/>
          <w:color w:val="auto"/>
          <w:lang w:eastAsia="zh-CN"/>
        </w:rPr>
        <w:t>2、结算总价=中标价±增减（变更）工程造价±合同约定的其他费用，最终结算金额以发包人委托的第三方结算审核单位审定的金额为准。工程内容与发包人发布的已标价工程量清单中有相同的子项或类似子项，则按相同子项或类似子项的综合单价执行（类似子项及其综合单价由发包人审定）；工程内容如有与发包人发布的已标价工程量清单中不同的子项（既无相同子项，又无类似子项），则结合审 核报告或相关计算定额、 法则及人工费、材料费取费期数；结算按照相关规定 和原则按投标下浮率进行结算。</w:t>
      </w:r>
    </w:p>
    <w:p>
      <w:pPr>
        <w:pageBreakBefore w:val="0"/>
        <w:kinsoku/>
        <w:wordWrap/>
        <w:overflowPunct/>
        <w:topLinePunct w:val="0"/>
        <w:autoSpaceDE/>
        <w:autoSpaceDN/>
        <w:bidi w:val="0"/>
        <w:adjustRightInd w:val="0"/>
        <w:snapToGrid w:val="0"/>
        <w:spacing w:line="400" w:lineRule="exact"/>
        <w:textAlignment w:val="auto"/>
        <w:rPr>
          <w:rFonts w:hint="eastAsia"/>
          <w:b/>
          <w:color w:val="auto"/>
        </w:rPr>
      </w:pPr>
      <w:r>
        <w:rPr>
          <w:rFonts w:hint="eastAsia"/>
          <w:b/>
          <w:color w:val="auto"/>
        </w:rPr>
        <w:t>15.5  承包人的合理化建议</w:t>
      </w:r>
    </w:p>
    <w:p>
      <w:pPr>
        <w:pageBreakBefore w:val="0"/>
        <w:kinsoku/>
        <w:wordWrap/>
        <w:overflowPunct/>
        <w:topLinePunct w:val="0"/>
        <w:autoSpaceDE/>
        <w:autoSpaceDN/>
        <w:bidi w:val="0"/>
        <w:adjustRightInd w:val="0"/>
        <w:snapToGrid w:val="0"/>
        <w:spacing w:line="400" w:lineRule="exact"/>
        <w:textAlignment w:val="auto"/>
        <w:rPr>
          <w:rFonts w:hint="eastAsia"/>
          <w:b/>
          <w:color w:val="auto"/>
          <w:u w:val="single"/>
        </w:rPr>
      </w:pPr>
      <w:r>
        <w:rPr>
          <w:rFonts w:hint="eastAsia"/>
          <w:color w:val="auto"/>
        </w:rPr>
        <w:t>对承包人提出合理化建议的奖励方法：</w:t>
      </w:r>
      <w:r>
        <w:rPr>
          <w:rFonts w:hint="eastAsia"/>
          <w:b/>
          <w:color w:val="auto"/>
          <w:u w:val="single"/>
        </w:rPr>
        <w:t>无。</w:t>
      </w:r>
    </w:p>
    <w:p>
      <w:pPr>
        <w:pageBreakBefore w:val="0"/>
        <w:kinsoku/>
        <w:wordWrap/>
        <w:overflowPunct/>
        <w:topLinePunct w:val="0"/>
        <w:autoSpaceDE/>
        <w:autoSpaceDN/>
        <w:bidi w:val="0"/>
        <w:adjustRightInd w:val="0"/>
        <w:snapToGrid w:val="0"/>
        <w:spacing w:line="400" w:lineRule="exact"/>
        <w:textAlignment w:val="auto"/>
        <w:rPr>
          <w:rFonts w:hint="eastAsia"/>
          <w:b/>
          <w:color w:val="auto"/>
          <w:u w:val="single"/>
        </w:rPr>
      </w:pPr>
      <w:r>
        <w:rPr>
          <w:rFonts w:hint="eastAsia"/>
          <w:color w:val="auto"/>
        </w:rPr>
        <w:t>15.6暂列金额</w:t>
      </w:r>
      <w:r>
        <w:rPr>
          <w:rFonts w:hint="eastAsia"/>
          <w:b/>
          <w:color w:val="auto"/>
        </w:rPr>
        <w:t xml:space="preserve">： </w:t>
      </w:r>
      <w:r>
        <w:rPr>
          <w:rFonts w:hint="eastAsia"/>
          <w:b/>
          <w:color w:val="auto"/>
          <w:u w:val="single"/>
        </w:rPr>
        <w:t xml:space="preserve"> </w:t>
      </w:r>
      <w:r>
        <w:rPr>
          <w:rFonts w:hint="eastAsia"/>
          <w:b/>
          <w:color w:val="auto"/>
          <w:u w:val="single"/>
          <w:lang w:val="en-US" w:eastAsia="zh-CN"/>
        </w:rPr>
        <w:t>/</w:t>
      </w:r>
      <w:r>
        <w:rPr>
          <w:rFonts w:hint="eastAsia"/>
          <w:b/>
          <w:color w:val="auto"/>
          <w:u w:val="single"/>
        </w:rPr>
        <w:t xml:space="preserve">  </w:t>
      </w:r>
      <w:r>
        <w:rPr>
          <w:rFonts w:hint="eastAsia"/>
          <w:bCs/>
          <w:color w:val="auto"/>
          <w:u w:val="single"/>
        </w:rPr>
        <w:t xml:space="preserve"> 元 。</w:t>
      </w:r>
    </w:p>
    <w:p>
      <w:pPr>
        <w:pageBreakBefore w:val="0"/>
        <w:kinsoku/>
        <w:wordWrap/>
        <w:overflowPunct/>
        <w:topLinePunct w:val="0"/>
        <w:autoSpaceDE/>
        <w:autoSpaceDN/>
        <w:bidi w:val="0"/>
        <w:adjustRightInd w:val="0"/>
        <w:snapToGrid w:val="0"/>
        <w:spacing w:line="400" w:lineRule="exact"/>
        <w:textAlignment w:val="auto"/>
        <w:rPr>
          <w:rFonts w:hint="eastAsia"/>
          <w:color w:val="auto"/>
        </w:rPr>
      </w:pPr>
      <w:r>
        <w:rPr>
          <w:rFonts w:hint="eastAsia"/>
          <w:color w:val="auto"/>
        </w:rPr>
        <w:t>15.8</w:t>
      </w:r>
      <w:r>
        <w:rPr>
          <w:rFonts w:hint="eastAsia" w:ascii="宋体" w:hAnsi="宋体"/>
          <w:color w:val="auto"/>
        </w:rPr>
        <w:t>暂估价：</w:t>
      </w:r>
      <w:r>
        <w:rPr>
          <w:rFonts w:hint="eastAsia"/>
          <w:b/>
          <w:color w:val="auto"/>
          <w:u w:val="single"/>
        </w:rPr>
        <w:t xml:space="preserve"> </w:t>
      </w:r>
      <w:r>
        <w:rPr>
          <w:rFonts w:hint="eastAsia"/>
          <w:color w:val="auto"/>
          <w:u w:val="single"/>
        </w:rPr>
        <w:t xml:space="preserve"> </w:t>
      </w:r>
      <w:r>
        <w:rPr>
          <w:rFonts w:hint="eastAsia" w:ascii="宋体" w:hAnsi="宋体"/>
          <w:b/>
          <w:color w:val="auto"/>
          <w:u w:val="single"/>
        </w:rPr>
        <w:t>﹨</w:t>
      </w:r>
      <w:r>
        <w:rPr>
          <w:rFonts w:hint="eastAsia"/>
          <w:color w:val="auto"/>
          <w:u w:val="single"/>
        </w:rPr>
        <w:t xml:space="preserve">  元</w:t>
      </w:r>
      <w:r>
        <w:rPr>
          <w:rFonts w:hint="eastAsia"/>
          <w:bCs/>
          <w:color w:val="auto"/>
          <w:u w:val="single"/>
        </w:rPr>
        <w:t>。</w:t>
      </w:r>
      <w:r>
        <w:rPr>
          <w:rFonts w:hint="eastAsia" w:ascii="宋体" w:hAnsi="宋体"/>
          <w:b/>
          <w:bCs/>
          <w:color w:val="auto"/>
          <w:u w:val="single"/>
        </w:rPr>
        <w:t xml:space="preserve"> </w:t>
      </w:r>
      <w:r>
        <w:rPr>
          <w:rFonts w:hint="eastAsia"/>
          <w:color w:val="auto"/>
        </w:rPr>
        <w:t xml:space="preserve">    </w:t>
      </w:r>
      <w:bookmarkStart w:id="486" w:name="_Toc327347204"/>
      <w:bookmarkStart w:id="487" w:name="_Toc14052"/>
      <w:bookmarkStart w:id="488" w:name="_Toc359579086"/>
      <w:bookmarkStart w:id="489" w:name="_Toc418077916"/>
      <w:bookmarkStart w:id="490" w:name="_Toc266027467"/>
      <w:bookmarkStart w:id="491" w:name="_Toc224103443"/>
      <w:bookmarkStart w:id="492" w:name="_Toc30841"/>
    </w:p>
    <w:p>
      <w:pPr>
        <w:pageBreakBefore w:val="0"/>
        <w:kinsoku/>
        <w:wordWrap/>
        <w:overflowPunct/>
        <w:topLinePunct w:val="0"/>
        <w:autoSpaceDE/>
        <w:autoSpaceDN/>
        <w:bidi w:val="0"/>
        <w:adjustRightInd w:val="0"/>
        <w:snapToGrid w:val="0"/>
        <w:spacing w:line="400" w:lineRule="exact"/>
        <w:textAlignment w:val="auto"/>
        <w:rPr>
          <w:rFonts w:hint="eastAsia"/>
          <w:b/>
          <w:color w:val="auto"/>
        </w:rPr>
      </w:pPr>
      <w:r>
        <w:rPr>
          <w:rFonts w:hint="eastAsia"/>
          <w:b/>
          <w:color w:val="auto"/>
        </w:rPr>
        <w:t>16.  价格调整</w:t>
      </w:r>
      <w:bookmarkEnd w:id="486"/>
      <w:bookmarkEnd w:id="487"/>
      <w:bookmarkEnd w:id="488"/>
      <w:bookmarkEnd w:id="489"/>
      <w:bookmarkEnd w:id="490"/>
      <w:bookmarkEnd w:id="491"/>
      <w:bookmarkEnd w:id="492"/>
      <w:bookmarkStart w:id="493" w:name="_Toc418077917"/>
      <w:bookmarkStart w:id="494" w:name="_Toc266027468"/>
      <w:bookmarkStart w:id="495" w:name="_Toc327347205"/>
      <w:bookmarkStart w:id="496" w:name="_Toc359579087"/>
      <w:bookmarkStart w:id="497" w:name="_Toc224103444"/>
      <w:bookmarkStart w:id="498" w:name="_Toc24307"/>
      <w:bookmarkStart w:id="499" w:name="_Toc8602"/>
    </w:p>
    <w:p>
      <w:pPr>
        <w:pageBreakBefore w:val="0"/>
        <w:kinsoku/>
        <w:wordWrap/>
        <w:overflowPunct/>
        <w:topLinePunct w:val="0"/>
        <w:autoSpaceDE/>
        <w:autoSpaceDN/>
        <w:bidi w:val="0"/>
        <w:adjustRightInd w:val="0"/>
        <w:snapToGrid w:val="0"/>
        <w:spacing w:line="400" w:lineRule="exact"/>
        <w:textAlignment w:val="auto"/>
        <w:rPr>
          <w:rFonts w:hint="eastAsia"/>
          <w:b/>
          <w:color w:val="auto"/>
        </w:rPr>
      </w:pPr>
      <w:r>
        <w:rPr>
          <w:rFonts w:hint="eastAsia"/>
          <w:b/>
          <w:color w:val="auto"/>
        </w:rPr>
        <w:t>16.1  物价波动引起的价格调整</w:t>
      </w:r>
      <w:bookmarkEnd w:id="493"/>
      <w:bookmarkEnd w:id="494"/>
      <w:bookmarkEnd w:id="495"/>
      <w:bookmarkEnd w:id="496"/>
      <w:bookmarkEnd w:id="497"/>
      <w:bookmarkEnd w:id="498"/>
      <w:bookmarkEnd w:id="499"/>
    </w:p>
    <w:p>
      <w:pPr>
        <w:pageBreakBefore w:val="0"/>
        <w:kinsoku/>
        <w:wordWrap/>
        <w:overflowPunct/>
        <w:topLinePunct w:val="0"/>
        <w:autoSpaceDE/>
        <w:autoSpaceDN/>
        <w:bidi w:val="0"/>
        <w:adjustRightInd w:val="0"/>
        <w:snapToGrid w:val="0"/>
        <w:spacing w:line="400" w:lineRule="exact"/>
        <w:ind w:firstLine="420" w:firstLineChars="200"/>
        <w:textAlignment w:val="auto"/>
        <w:rPr>
          <w:rFonts w:hint="eastAsia"/>
          <w:b/>
          <w:color w:val="auto"/>
        </w:rPr>
      </w:pPr>
      <w:r>
        <w:rPr>
          <w:rFonts w:hint="eastAsia"/>
          <w:color w:val="auto"/>
        </w:rPr>
        <w:t>物价波动引起的价格调整方法：</w:t>
      </w:r>
      <w:r>
        <w:rPr>
          <w:rFonts w:hint="eastAsia"/>
          <w:b/>
          <w:color w:val="auto"/>
          <w:u w:val="single"/>
        </w:rPr>
        <w:t xml:space="preserve">   不调整   </w:t>
      </w:r>
      <w:r>
        <w:rPr>
          <w:rFonts w:hint="eastAsia"/>
          <w:b/>
          <w:color w:val="auto"/>
        </w:rPr>
        <w:t>。</w:t>
      </w:r>
    </w:p>
    <w:p>
      <w:pPr>
        <w:pageBreakBefore w:val="0"/>
        <w:kinsoku/>
        <w:wordWrap/>
        <w:overflowPunct/>
        <w:topLinePunct w:val="0"/>
        <w:autoSpaceDE/>
        <w:autoSpaceDN/>
        <w:bidi w:val="0"/>
        <w:adjustRightInd w:val="0"/>
        <w:snapToGrid w:val="0"/>
        <w:spacing w:line="400" w:lineRule="exact"/>
        <w:textAlignment w:val="auto"/>
        <w:rPr>
          <w:rFonts w:hint="eastAsia"/>
          <w:b/>
          <w:color w:val="auto"/>
        </w:rPr>
      </w:pPr>
      <w:r>
        <w:rPr>
          <w:rFonts w:hint="eastAsia"/>
          <w:b/>
          <w:color w:val="auto"/>
        </w:rPr>
        <w:t>17.2 预付款</w:t>
      </w:r>
    </w:p>
    <w:p>
      <w:pPr>
        <w:pageBreakBefore w:val="0"/>
        <w:kinsoku/>
        <w:wordWrap/>
        <w:overflowPunct/>
        <w:topLinePunct w:val="0"/>
        <w:autoSpaceDE/>
        <w:autoSpaceDN/>
        <w:bidi w:val="0"/>
        <w:adjustRightInd w:val="0"/>
        <w:snapToGrid w:val="0"/>
        <w:spacing w:line="400" w:lineRule="exact"/>
        <w:textAlignment w:val="auto"/>
        <w:rPr>
          <w:rFonts w:hint="eastAsia"/>
          <w:color w:val="auto"/>
        </w:rPr>
      </w:pPr>
      <w:r>
        <w:rPr>
          <w:rFonts w:hint="eastAsia"/>
          <w:color w:val="auto"/>
        </w:rPr>
        <w:t>17.2.1 预付款</w:t>
      </w:r>
    </w:p>
    <w:p>
      <w:pPr>
        <w:pageBreakBefore w:val="0"/>
        <w:kinsoku/>
        <w:wordWrap/>
        <w:overflowPunct/>
        <w:topLinePunct w:val="0"/>
        <w:autoSpaceDE/>
        <w:autoSpaceDN/>
        <w:bidi w:val="0"/>
        <w:adjustRightInd w:val="0"/>
        <w:snapToGrid w:val="0"/>
        <w:spacing w:line="400" w:lineRule="exact"/>
        <w:textAlignment w:val="auto"/>
        <w:rPr>
          <w:rFonts w:hint="eastAsia"/>
          <w:b/>
          <w:color w:val="auto"/>
          <w:u w:val="single"/>
        </w:rPr>
      </w:pPr>
      <w:r>
        <w:rPr>
          <w:rFonts w:hint="eastAsia"/>
          <w:color w:val="auto"/>
        </w:rPr>
        <w:t xml:space="preserve">    预付款额度和预付方法：</w:t>
      </w:r>
      <w:r>
        <w:rPr>
          <w:rFonts w:hint="eastAsia"/>
          <w:b/>
          <w:color w:val="auto"/>
          <w:u w:val="single"/>
        </w:rPr>
        <w:t xml:space="preserve">  无。</w:t>
      </w:r>
    </w:p>
    <w:p>
      <w:pPr>
        <w:pageBreakBefore w:val="0"/>
        <w:kinsoku/>
        <w:wordWrap/>
        <w:overflowPunct/>
        <w:topLinePunct w:val="0"/>
        <w:autoSpaceDE/>
        <w:autoSpaceDN/>
        <w:bidi w:val="0"/>
        <w:adjustRightInd w:val="0"/>
        <w:snapToGrid w:val="0"/>
        <w:spacing w:line="400" w:lineRule="exact"/>
        <w:textAlignment w:val="auto"/>
        <w:rPr>
          <w:rFonts w:hint="eastAsia"/>
          <w:color w:val="auto"/>
        </w:rPr>
      </w:pPr>
      <w:r>
        <w:rPr>
          <w:rFonts w:hint="eastAsia"/>
          <w:color w:val="auto"/>
        </w:rPr>
        <w:t>17.2.2 预付款保函</w:t>
      </w:r>
    </w:p>
    <w:p>
      <w:pPr>
        <w:pageBreakBefore w:val="0"/>
        <w:kinsoku/>
        <w:wordWrap/>
        <w:overflowPunct/>
        <w:topLinePunct w:val="0"/>
        <w:autoSpaceDE/>
        <w:autoSpaceDN/>
        <w:bidi w:val="0"/>
        <w:adjustRightInd w:val="0"/>
        <w:snapToGrid w:val="0"/>
        <w:spacing w:line="400" w:lineRule="exact"/>
        <w:textAlignment w:val="auto"/>
        <w:rPr>
          <w:rFonts w:hint="eastAsia"/>
          <w:b/>
          <w:color w:val="auto"/>
        </w:rPr>
      </w:pPr>
      <w:r>
        <w:rPr>
          <w:rFonts w:hint="eastAsia"/>
          <w:color w:val="auto"/>
        </w:rPr>
        <w:t xml:space="preserve">    预付款保函的提交时间：</w:t>
      </w:r>
      <w:r>
        <w:rPr>
          <w:rFonts w:hint="eastAsia"/>
          <w:b/>
          <w:color w:val="auto"/>
          <w:u w:val="single"/>
        </w:rPr>
        <w:t xml:space="preserve">  无。</w:t>
      </w:r>
    </w:p>
    <w:p>
      <w:pPr>
        <w:pageBreakBefore w:val="0"/>
        <w:kinsoku/>
        <w:wordWrap/>
        <w:overflowPunct/>
        <w:topLinePunct w:val="0"/>
        <w:autoSpaceDE/>
        <w:autoSpaceDN/>
        <w:bidi w:val="0"/>
        <w:spacing w:line="400" w:lineRule="exact"/>
        <w:ind w:firstLine="420" w:firstLineChars="200"/>
        <w:textAlignment w:val="auto"/>
        <w:rPr>
          <w:rFonts w:hint="eastAsia"/>
          <w:b/>
          <w:color w:val="auto"/>
        </w:rPr>
      </w:pPr>
      <w:r>
        <w:rPr>
          <w:rFonts w:hint="eastAsia"/>
          <w:color w:val="auto"/>
        </w:rPr>
        <w:t>17.2.3 预付款的扣回与还清</w:t>
      </w:r>
    </w:p>
    <w:p>
      <w:pPr>
        <w:pageBreakBefore w:val="0"/>
        <w:kinsoku/>
        <w:wordWrap/>
        <w:overflowPunct/>
        <w:topLinePunct w:val="0"/>
        <w:autoSpaceDE/>
        <w:autoSpaceDN/>
        <w:bidi w:val="0"/>
        <w:spacing w:line="400" w:lineRule="exact"/>
        <w:ind w:firstLine="420" w:firstLineChars="200"/>
        <w:textAlignment w:val="auto"/>
        <w:rPr>
          <w:rFonts w:hint="eastAsia"/>
          <w:b/>
          <w:color w:val="auto"/>
        </w:rPr>
      </w:pPr>
      <w:r>
        <w:rPr>
          <w:rFonts w:hint="eastAsia"/>
          <w:color w:val="auto"/>
        </w:rPr>
        <w:t>预付款的扣回办法：</w:t>
      </w:r>
      <w:r>
        <w:rPr>
          <w:rFonts w:hint="eastAsia"/>
          <w:b/>
          <w:color w:val="auto"/>
          <w:u w:val="single"/>
        </w:rPr>
        <w:t xml:space="preserve">  无。</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17.3  工程进度付款</w:t>
      </w:r>
    </w:p>
    <w:p>
      <w:pPr>
        <w:pageBreakBefore w:val="0"/>
        <w:kinsoku/>
        <w:wordWrap/>
        <w:overflowPunct/>
        <w:topLinePunct w:val="0"/>
        <w:autoSpaceDE/>
        <w:autoSpaceDN/>
        <w:bidi w:val="0"/>
        <w:spacing w:line="400" w:lineRule="exact"/>
        <w:ind w:firstLine="411" w:firstLineChars="196"/>
        <w:textAlignment w:val="auto"/>
        <w:rPr>
          <w:rFonts w:hint="eastAsia"/>
          <w:color w:val="auto"/>
        </w:rPr>
      </w:pPr>
      <w:r>
        <w:rPr>
          <w:rFonts w:hint="eastAsia"/>
          <w:color w:val="auto"/>
        </w:rPr>
        <w:t>17.3.3进度付款证书和支付时间：</w:t>
      </w:r>
    </w:p>
    <w:p>
      <w:pPr>
        <w:pageBreakBefore w:val="0"/>
        <w:kinsoku/>
        <w:wordWrap/>
        <w:overflowPunct/>
        <w:topLinePunct w:val="0"/>
        <w:autoSpaceDE/>
        <w:autoSpaceDN/>
        <w:bidi w:val="0"/>
        <w:spacing w:line="400" w:lineRule="exact"/>
        <w:ind w:firstLine="420" w:firstLineChars="200"/>
        <w:textAlignment w:val="auto"/>
        <w:rPr>
          <w:rFonts w:hint="eastAsia" w:eastAsia="宋体"/>
          <w:color w:val="auto"/>
          <w:lang w:val="en-US" w:eastAsia="zh-CN"/>
        </w:rPr>
      </w:pPr>
      <w:r>
        <w:rPr>
          <w:rFonts w:hint="eastAsia"/>
          <w:color w:val="auto"/>
          <w:lang w:eastAsia="zh-CN"/>
        </w:rPr>
        <w:t>预验收合格后30日历天内付至合同价款的50%；竣工验收合格（并完成送审）后180日历天内付至合同价款的70%，结算审核完成后一年内付至审定金额的97%，（其中结算审核总价款的3％留作质保金）。</w:t>
      </w:r>
    </w:p>
    <w:p>
      <w:pPr>
        <w:pageBreakBefore w:val="0"/>
        <w:kinsoku/>
        <w:wordWrap/>
        <w:overflowPunct/>
        <w:topLinePunct w:val="0"/>
        <w:autoSpaceDE/>
        <w:autoSpaceDN/>
        <w:bidi w:val="0"/>
        <w:spacing w:line="400" w:lineRule="exact"/>
        <w:ind w:firstLine="422" w:firstLineChars="200"/>
        <w:textAlignment w:val="auto"/>
        <w:rPr>
          <w:rFonts w:hint="eastAsia"/>
          <w:b/>
          <w:color w:val="auto"/>
        </w:rPr>
      </w:pPr>
      <w:r>
        <w:rPr>
          <w:rFonts w:hint="eastAsia"/>
          <w:b/>
          <w:color w:val="auto"/>
        </w:rPr>
        <w:t>17.4  质量保证金</w:t>
      </w:r>
    </w:p>
    <w:p>
      <w:pPr>
        <w:pageBreakBefore w:val="0"/>
        <w:kinsoku/>
        <w:wordWrap/>
        <w:overflowPunct/>
        <w:topLinePunct w:val="0"/>
        <w:autoSpaceDE/>
        <w:autoSpaceDN/>
        <w:bidi w:val="0"/>
        <w:spacing w:line="400" w:lineRule="exact"/>
        <w:ind w:firstLine="420" w:firstLineChars="200"/>
        <w:textAlignment w:val="auto"/>
        <w:rPr>
          <w:rFonts w:hint="eastAsia"/>
          <w:color w:val="auto"/>
          <w:highlight w:val="none"/>
        </w:rPr>
      </w:pPr>
      <w:r>
        <w:rPr>
          <w:rFonts w:hint="eastAsia"/>
          <w:color w:val="auto"/>
        </w:rPr>
        <w:t>17.4.1 质量保证金的</w:t>
      </w:r>
      <w:r>
        <w:rPr>
          <w:rFonts w:hint="eastAsia"/>
          <w:color w:val="auto"/>
          <w:highlight w:val="none"/>
        </w:rPr>
        <w:t>金额或比例：</w:t>
      </w:r>
      <w:r>
        <w:rPr>
          <w:rFonts w:hint="eastAsia"/>
          <w:b/>
          <w:bCs/>
          <w:color w:val="auto"/>
          <w:highlight w:val="none"/>
          <w:u w:val="single"/>
          <w:lang w:val="en-US" w:eastAsia="zh-CN"/>
        </w:rPr>
        <w:t>结算</w:t>
      </w:r>
      <w:r>
        <w:rPr>
          <w:rFonts w:hint="eastAsia"/>
          <w:b/>
          <w:bCs/>
          <w:color w:val="auto"/>
          <w:szCs w:val="22"/>
          <w:highlight w:val="none"/>
          <w:u w:val="single"/>
          <w:lang w:val="en-US" w:eastAsia="zh-CN"/>
        </w:rPr>
        <w:t>审</w:t>
      </w:r>
      <w:r>
        <w:rPr>
          <w:rFonts w:hint="eastAsia"/>
          <w:b/>
          <w:color w:val="auto"/>
          <w:szCs w:val="22"/>
          <w:highlight w:val="none"/>
          <w:u w:val="single"/>
          <w:lang w:val="en-US" w:eastAsia="zh-CN"/>
        </w:rPr>
        <w:t>定金额的3%。</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 xml:space="preserve">17.5  竣工结算 </w:t>
      </w:r>
    </w:p>
    <w:p>
      <w:pPr>
        <w:pageBreakBefore w:val="0"/>
        <w:kinsoku/>
        <w:wordWrap/>
        <w:overflowPunct/>
        <w:topLinePunct w:val="0"/>
        <w:autoSpaceDE/>
        <w:autoSpaceDN/>
        <w:bidi w:val="0"/>
        <w:spacing w:line="400" w:lineRule="exact"/>
        <w:textAlignment w:val="auto"/>
        <w:rPr>
          <w:b/>
          <w:color w:val="auto"/>
        </w:rPr>
      </w:pPr>
      <w:r>
        <w:rPr>
          <w:rFonts w:hint="eastAsia"/>
          <w:b/>
          <w:color w:val="auto"/>
        </w:rPr>
        <w:t>17.5.1  竣工付款申请单</w:t>
      </w:r>
    </w:p>
    <w:p>
      <w:pPr>
        <w:pageBreakBefore w:val="0"/>
        <w:kinsoku/>
        <w:wordWrap/>
        <w:overflowPunct/>
        <w:topLinePunct w:val="0"/>
        <w:autoSpaceDE/>
        <w:autoSpaceDN/>
        <w:bidi w:val="0"/>
        <w:spacing w:line="400" w:lineRule="exact"/>
        <w:ind w:firstLine="411" w:firstLineChars="196"/>
        <w:textAlignment w:val="auto"/>
        <w:rPr>
          <w:color w:val="auto"/>
        </w:rPr>
      </w:pPr>
      <w:r>
        <w:rPr>
          <w:rFonts w:hint="eastAsia"/>
          <w:color w:val="auto"/>
        </w:rPr>
        <w:t>竣工付款申请单的份数和提交期限：</w:t>
      </w:r>
      <w:r>
        <w:rPr>
          <w:rFonts w:hint="eastAsia"/>
          <w:b/>
          <w:color w:val="auto"/>
          <w:u w:val="single"/>
        </w:rPr>
        <w:t>按发包人要求办理。</w:t>
      </w:r>
      <w:r>
        <w:rPr>
          <w:rFonts w:hint="eastAsia"/>
          <w:color w:val="auto"/>
        </w:rPr>
        <w:t xml:space="preserve">     </w:t>
      </w:r>
    </w:p>
    <w:p>
      <w:pPr>
        <w:pageBreakBefore w:val="0"/>
        <w:kinsoku/>
        <w:wordWrap/>
        <w:overflowPunct/>
        <w:topLinePunct w:val="0"/>
        <w:autoSpaceDE/>
        <w:autoSpaceDN/>
        <w:bidi w:val="0"/>
        <w:spacing w:line="400" w:lineRule="exact"/>
        <w:ind w:firstLine="411" w:firstLineChars="196"/>
        <w:textAlignment w:val="auto"/>
        <w:rPr>
          <w:color w:val="auto"/>
        </w:rPr>
      </w:pPr>
      <w:r>
        <w:rPr>
          <w:rFonts w:hint="eastAsia"/>
          <w:color w:val="auto"/>
        </w:rPr>
        <w:t>竣工付款申请单的内容：</w:t>
      </w:r>
      <w:r>
        <w:rPr>
          <w:rFonts w:hint="eastAsia"/>
          <w:b/>
          <w:color w:val="auto"/>
          <w:u w:val="single"/>
        </w:rPr>
        <w:t xml:space="preserve">按发包人要求办理。 </w:t>
      </w:r>
      <w:r>
        <w:rPr>
          <w:rFonts w:hint="eastAsia"/>
          <w:color w:val="auto"/>
        </w:rPr>
        <w:t xml:space="preserve">             </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17.5.3 竣工结算原则：</w:t>
      </w:r>
    </w:p>
    <w:p>
      <w:pPr>
        <w:pageBreakBefore w:val="0"/>
        <w:kinsoku/>
        <w:wordWrap/>
        <w:overflowPunct/>
        <w:topLinePunct w:val="0"/>
        <w:autoSpaceDE/>
        <w:autoSpaceDN/>
        <w:bidi w:val="0"/>
        <w:spacing w:line="400" w:lineRule="exact"/>
        <w:ind w:firstLine="420" w:firstLineChars="200"/>
        <w:textAlignment w:val="auto"/>
        <w:rPr>
          <w:rFonts w:ascii="微软雅黑" w:hAnsi="微软雅黑" w:eastAsia="微软雅黑" w:cs="微软雅黑"/>
          <w:b w:val="0"/>
          <w:i w:val="0"/>
          <w:caps w:val="0"/>
          <w:color w:val="auto"/>
          <w:spacing w:val="0"/>
          <w:sz w:val="20"/>
          <w:szCs w:val="20"/>
        </w:rPr>
      </w:pPr>
      <w:bookmarkStart w:id="500" w:name="_Toc359579095"/>
      <w:bookmarkStart w:id="501" w:name="_Toc266027476"/>
      <w:bookmarkStart w:id="502" w:name="_Toc24412"/>
      <w:bookmarkStart w:id="503" w:name="_Toc327347214"/>
      <w:bookmarkStart w:id="504" w:name="_Toc18141"/>
      <w:bookmarkStart w:id="505" w:name="_Toc224103452"/>
      <w:bookmarkStart w:id="506" w:name="_Toc418077924"/>
      <w:r>
        <w:rPr>
          <w:rFonts w:hint="eastAsia" w:ascii="宋体" w:hAnsi="宋体" w:cs="宋体"/>
          <w:color w:val="auto"/>
          <w:kern w:val="0"/>
          <w:szCs w:val="21"/>
          <w:lang w:eastAsia="zh-CN"/>
        </w:rPr>
        <w:t>1.1.工程价款＝合同内应予计量工程量×中标单价±增减（变更）工程造价±合同约定其他费用，最终结算金额以审计机构审定的金额为准。</w:t>
      </w:r>
    </w:p>
    <w:p>
      <w:pPr>
        <w:pageBreakBefore w:val="0"/>
        <w:kinsoku/>
        <w:wordWrap/>
        <w:overflowPunct/>
        <w:topLinePunct w:val="0"/>
        <w:autoSpaceDE/>
        <w:autoSpaceDN/>
        <w:bidi w:val="0"/>
        <w:spacing w:line="400" w:lineRule="exact"/>
        <w:ind w:firstLine="420" w:firstLineChars="200"/>
        <w:textAlignment w:val="auto"/>
        <w:rPr>
          <w:rFonts w:hint="eastAsia"/>
          <w:color w:val="auto"/>
        </w:rPr>
      </w:pPr>
      <w:r>
        <w:rPr>
          <w:rFonts w:hint="eastAsia"/>
          <w:color w:val="auto"/>
        </w:rPr>
        <w:t xml:space="preserve">2.增减（变更）工程结算： </w:t>
      </w:r>
    </w:p>
    <w:p>
      <w:pPr>
        <w:pageBreakBefore w:val="0"/>
        <w:kinsoku/>
        <w:wordWrap/>
        <w:overflowPunct/>
        <w:topLinePunct w:val="0"/>
        <w:autoSpaceDE/>
        <w:autoSpaceDN/>
        <w:bidi w:val="0"/>
        <w:spacing w:line="400" w:lineRule="exact"/>
        <w:ind w:firstLine="420" w:firstLineChars="200"/>
        <w:textAlignment w:val="auto"/>
        <w:rPr>
          <w:rFonts w:hint="eastAsia"/>
          <w:color w:val="auto"/>
        </w:rPr>
      </w:pPr>
      <w:r>
        <w:rPr>
          <w:rFonts w:hint="eastAsia"/>
          <w:color w:val="auto"/>
        </w:rPr>
        <w:t>（1）工程内容与已标价工程量清单中有相同的子项或类似子项，则按投标时的相同子项或类似子项的</w:t>
      </w:r>
      <w:r>
        <w:rPr>
          <w:rFonts w:hint="eastAsia"/>
          <w:color w:val="auto"/>
          <w:lang w:val="en-US" w:eastAsia="zh-CN"/>
        </w:rPr>
        <w:t>全费用</w:t>
      </w:r>
      <w:r>
        <w:rPr>
          <w:rFonts w:hint="eastAsia"/>
          <w:color w:val="auto"/>
        </w:rPr>
        <w:t>综合单价执行（类似子项及其</w:t>
      </w:r>
      <w:r>
        <w:rPr>
          <w:rFonts w:hint="eastAsia"/>
          <w:color w:val="auto"/>
          <w:lang w:val="en-US" w:eastAsia="zh-CN"/>
        </w:rPr>
        <w:t>全费用</w:t>
      </w:r>
      <w:r>
        <w:rPr>
          <w:rFonts w:hint="eastAsia"/>
          <w:color w:val="auto"/>
        </w:rPr>
        <w:t>综合单价由发包人审定）；</w:t>
      </w:r>
    </w:p>
    <w:p>
      <w:pPr>
        <w:pageBreakBefore w:val="0"/>
        <w:kinsoku/>
        <w:wordWrap/>
        <w:overflowPunct/>
        <w:topLinePunct w:val="0"/>
        <w:bidi w:val="0"/>
        <w:spacing w:line="400" w:lineRule="exact"/>
        <w:ind w:firstLine="420" w:firstLineChars="200"/>
        <w:jc w:val="left"/>
        <w:textAlignment w:val="auto"/>
        <w:rPr>
          <w:rFonts w:hint="eastAsia" w:ascii="宋体" w:hAnsi="宋体" w:eastAsia="宋体" w:cs="宋体"/>
          <w:color w:val="auto"/>
          <w:kern w:val="0"/>
          <w:szCs w:val="21"/>
          <w:lang w:eastAsia="zh-CN"/>
        </w:rPr>
      </w:pPr>
      <w:r>
        <w:rPr>
          <w:rFonts w:hint="eastAsia"/>
          <w:lang w:eastAsia="zh-CN"/>
        </w:rPr>
        <w:t>2、结算总价=中标价±增减（变更）工程造价±合同约定的其他费用，最终结算金额以发包人委托的第三方结算审核单位审定的金额为准。工程内容与发包人发布的已标价工程量清单中有相同的子项或类似子项，则按相同子项或类似子项的综合单价执行（类似子项及其综合单价由发包人审定）；工程内容如有与发包人发布的已标价工程量清单中不同的子项（既无相同子项，又无类似子项），则结合审 核报告或相关计算定额、 法则及人工费、材料费取费期数；结算按照相关规定 和原则按投标下浮率进行结算。</w:t>
      </w:r>
    </w:p>
    <w:p>
      <w:pPr>
        <w:pageBreakBefore w:val="0"/>
        <w:kinsoku/>
        <w:wordWrap/>
        <w:overflowPunct/>
        <w:topLinePunct w:val="0"/>
        <w:bidi w:val="0"/>
        <w:spacing w:line="400" w:lineRule="exact"/>
        <w:ind w:firstLine="420" w:firstLineChars="200"/>
        <w:jc w:val="left"/>
        <w:textAlignment w:val="auto"/>
        <w:rPr>
          <w:rFonts w:hint="eastAsia" w:ascii="宋体" w:hAnsi="宋体" w:cs="宋体"/>
          <w:color w:val="auto"/>
          <w:kern w:val="0"/>
          <w:szCs w:val="21"/>
        </w:rPr>
      </w:pPr>
      <w:r>
        <w:rPr>
          <w:rFonts w:hint="eastAsia" w:ascii="宋体" w:hAnsi="宋体" w:cs="宋体"/>
          <w:color w:val="auto"/>
          <w:kern w:val="0"/>
          <w:szCs w:val="21"/>
        </w:rPr>
        <w:t>3.安全文明施工费：</w:t>
      </w:r>
      <w:r>
        <w:rPr>
          <w:rFonts w:hint="eastAsia" w:ascii="宋体" w:hAnsi="宋体" w:eastAsia="宋体" w:cs="宋体"/>
          <w:color w:val="auto"/>
          <w:kern w:val="0"/>
          <w:szCs w:val="21"/>
        </w:rPr>
        <w:t>按《关于印发</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重庆市建设工程安全文明施工费计取及使用管理规定</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的通知》（渝建发</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2014</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25号）及《重庆市城乡建设委员会关于建筑业营业税改增值税调整建设工程计价依据的通知》（渝建发〔2016〕35号）</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重庆市城乡建设委员会关于适用增值税新税税率调整建筑工程计价依据的通知</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渝建</w:t>
      </w:r>
      <w:r>
        <w:rPr>
          <w:rFonts w:hint="eastAsia" w:ascii="宋体" w:hAnsi="宋体" w:eastAsia="宋体" w:cs="宋体"/>
          <w:color w:val="auto"/>
          <w:kern w:val="0"/>
          <w:szCs w:val="21"/>
        </w:rPr>
        <w:t>〔201</w:t>
      </w:r>
      <w:r>
        <w:rPr>
          <w:rFonts w:hint="eastAsia" w:ascii="宋体" w:hAnsi="宋体" w:eastAsia="宋体" w:cs="宋体"/>
          <w:color w:val="auto"/>
          <w:kern w:val="0"/>
          <w:szCs w:val="21"/>
          <w:lang w:val="en-US" w:eastAsia="zh-CN"/>
        </w:rPr>
        <w:t>9</w:t>
      </w: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143</w:t>
      </w:r>
      <w:r>
        <w:rPr>
          <w:rFonts w:hint="eastAsia" w:ascii="宋体" w:hAnsi="宋体" w:eastAsia="宋体" w:cs="宋体"/>
          <w:color w:val="auto"/>
          <w:kern w:val="0"/>
          <w:szCs w:val="21"/>
        </w:rPr>
        <w:t>号</w:t>
      </w:r>
      <w:r>
        <w:rPr>
          <w:rFonts w:hint="eastAsia" w:ascii="宋体" w:hAnsi="宋体" w:eastAsia="宋体" w:cs="宋体"/>
          <w:color w:val="auto"/>
          <w:kern w:val="0"/>
          <w:szCs w:val="21"/>
          <w:lang w:eastAsia="zh-CN"/>
        </w:rPr>
        <w:t>）</w:t>
      </w:r>
      <w:r>
        <w:rPr>
          <w:rFonts w:hint="eastAsia" w:ascii="宋体" w:hAnsi="宋体" w:cs="宋体"/>
          <w:color w:val="auto"/>
          <w:kern w:val="0"/>
          <w:szCs w:val="21"/>
        </w:rPr>
        <w:t>规定进行结算，安全文明施工综合评定结果为不合格，则不计取。</w:t>
      </w:r>
    </w:p>
    <w:p>
      <w:pPr>
        <w:pageBreakBefore w:val="0"/>
        <w:kinsoku/>
        <w:wordWrap/>
        <w:overflowPunct/>
        <w:topLinePunct w:val="0"/>
        <w:autoSpaceDE/>
        <w:autoSpaceDN/>
        <w:bidi w:val="0"/>
        <w:spacing w:line="400" w:lineRule="exact"/>
        <w:ind w:firstLine="420" w:firstLineChars="200"/>
        <w:textAlignment w:val="auto"/>
        <w:rPr>
          <w:rFonts w:hint="eastAsia"/>
          <w:color w:val="auto"/>
        </w:rPr>
      </w:pPr>
      <w:r>
        <w:rPr>
          <w:rFonts w:hint="eastAsia"/>
          <w:color w:val="auto"/>
        </w:rPr>
        <w:t>4.施工技术措施项目清单计价表中以项为单位计列的项目，按投标时的报价作为结算价，包干使用。</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18.  竣工验收</w:t>
      </w:r>
      <w:bookmarkEnd w:id="500"/>
      <w:bookmarkEnd w:id="501"/>
      <w:bookmarkEnd w:id="502"/>
      <w:bookmarkEnd w:id="503"/>
      <w:bookmarkEnd w:id="504"/>
      <w:bookmarkEnd w:id="505"/>
      <w:bookmarkEnd w:id="506"/>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18.2  竣工验收申请报告</w:t>
      </w:r>
    </w:p>
    <w:p>
      <w:pPr>
        <w:pageBreakBefore w:val="0"/>
        <w:kinsoku/>
        <w:wordWrap/>
        <w:overflowPunct/>
        <w:topLinePunct w:val="0"/>
        <w:autoSpaceDE/>
        <w:autoSpaceDN/>
        <w:bidi w:val="0"/>
        <w:adjustRightInd w:val="0"/>
        <w:snapToGrid w:val="0"/>
        <w:spacing w:line="400" w:lineRule="exact"/>
        <w:textAlignment w:val="auto"/>
        <w:rPr>
          <w:rFonts w:hint="eastAsia" w:ascii="宋体" w:hAnsi="宋体"/>
          <w:color w:val="auto"/>
          <w:szCs w:val="21"/>
        </w:rPr>
      </w:pPr>
      <w:r>
        <w:rPr>
          <w:rFonts w:hint="eastAsia" w:ascii="宋体" w:hAnsi="宋体"/>
          <w:color w:val="auto"/>
          <w:szCs w:val="21"/>
        </w:rPr>
        <w:t xml:space="preserve">    竣工资料内容：</w:t>
      </w:r>
      <w:r>
        <w:rPr>
          <w:rFonts w:hint="eastAsia" w:ascii="宋体" w:hAnsi="宋体"/>
          <w:color w:val="auto"/>
          <w:szCs w:val="21"/>
          <w:u w:val="single"/>
        </w:rPr>
        <w:t xml:space="preserve"> </w:t>
      </w:r>
      <w:r>
        <w:rPr>
          <w:rFonts w:hint="eastAsia" w:ascii="宋体" w:hAnsi="宋体"/>
          <w:b/>
          <w:color w:val="auto"/>
          <w:szCs w:val="21"/>
          <w:u w:val="single"/>
        </w:rPr>
        <w:t>按重庆市铜梁区城建档案室和发包人的要求，提供竣工资料。</w:t>
      </w:r>
    </w:p>
    <w:p>
      <w:pPr>
        <w:pageBreakBefore w:val="0"/>
        <w:kinsoku/>
        <w:wordWrap/>
        <w:overflowPunct/>
        <w:topLinePunct w:val="0"/>
        <w:autoSpaceDE/>
        <w:autoSpaceDN/>
        <w:bidi w:val="0"/>
        <w:adjustRightInd w:val="0"/>
        <w:snapToGrid w:val="0"/>
        <w:spacing w:line="400" w:lineRule="exact"/>
        <w:ind w:firstLine="435"/>
        <w:textAlignment w:val="auto"/>
        <w:rPr>
          <w:rFonts w:hint="eastAsia" w:ascii="宋体" w:hAnsi="宋体"/>
          <w:b/>
          <w:color w:val="auto"/>
          <w:szCs w:val="21"/>
        </w:rPr>
      </w:pPr>
      <w:r>
        <w:rPr>
          <w:rFonts w:hint="eastAsia" w:ascii="宋体" w:hAnsi="宋体"/>
          <w:color w:val="auto"/>
          <w:szCs w:val="21"/>
        </w:rPr>
        <w:t>竣工资料份数：</w:t>
      </w:r>
      <w:r>
        <w:rPr>
          <w:rFonts w:hint="eastAsia" w:ascii="宋体" w:hAnsi="宋体"/>
          <w:color w:val="auto"/>
          <w:szCs w:val="21"/>
          <w:u w:val="single"/>
        </w:rPr>
        <w:t xml:space="preserve"> </w:t>
      </w:r>
      <w:r>
        <w:rPr>
          <w:rFonts w:hint="eastAsia" w:ascii="宋体" w:hAnsi="宋体"/>
          <w:b/>
          <w:color w:val="auto"/>
          <w:szCs w:val="21"/>
          <w:u w:val="single"/>
        </w:rPr>
        <w:t>工程具备竣工验收条件时，承包人应向发包人提供完整的竣工档案资料、竣工验收报告和竣工图及发包人要求的相关竣工资料6套（含相应的光盘），承包人所提供的上述资料须经重庆市铜梁区城建档案室档案专项验收合格并出具相应的</w:t>
      </w:r>
      <w:r>
        <w:rPr>
          <w:rFonts w:ascii="宋体" w:hAnsi="宋体"/>
          <w:b/>
          <w:color w:val="auto"/>
          <w:szCs w:val="21"/>
          <w:u w:val="single"/>
        </w:rPr>
        <w:t>档案验收意见书</w:t>
      </w:r>
      <w:r>
        <w:rPr>
          <w:rFonts w:hint="eastAsia" w:ascii="宋体" w:hAnsi="宋体"/>
          <w:b/>
          <w:color w:val="auto"/>
          <w:szCs w:val="21"/>
          <w:u w:val="single"/>
        </w:rPr>
        <w:t>。</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18.3  验收</w:t>
      </w:r>
    </w:p>
    <w:p>
      <w:pPr>
        <w:pageBreakBefore w:val="0"/>
        <w:kinsoku/>
        <w:wordWrap/>
        <w:overflowPunct/>
        <w:topLinePunct w:val="0"/>
        <w:autoSpaceDE/>
        <w:autoSpaceDN/>
        <w:bidi w:val="0"/>
        <w:spacing w:line="400" w:lineRule="exact"/>
        <w:ind w:firstLine="411" w:firstLineChars="196"/>
        <w:textAlignment w:val="auto"/>
        <w:rPr>
          <w:rFonts w:hint="eastAsia"/>
          <w:b/>
          <w:color w:val="auto"/>
          <w:u w:val="single"/>
        </w:rPr>
      </w:pPr>
      <w:r>
        <w:rPr>
          <w:rFonts w:hint="eastAsia"/>
          <w:color w:val="auto"/>
        </w:rPr>
        <w:t>18.3.5 实际竣工日期：</w:t>
      </w:r>
      <w:r>
        <w:rPr>
          <w:rFonts w:hint="eastAsia"/>
          <w:b/>
          <w:color w:val="auto"/>
        </w:rPr>
        <w:t xml:space="preserve"> </w:t>
      </w:r>
      <w:r>
        <w:rPr>
          <w:rFonts w:hint="eastAsia"/>
          <w:b/>
          <w:color w:val="auto"/>
          <w:u w:val="single"/>
        </w:rPr>
        <w:t>以竣工验收合格之日为准。</w:t>
      </w:r>
    </w:p>
    <w:p>
      <w:pPr>
        <w:pageBreakBefore w:val="0"/>
        <w:kinsoku/>
        <w:wordWrap/>
        <w:overflowPunct/>
        <w:topLinePunct w:val="0"/>
        <w:autoSpaceDE/>
        <w:autoSpaceDN/>
        <w:bidi w:val="0"/>
        <w:spacing w:line="400" w:lineRule="exact"/>
        <w:textAlignment w:val="auto"/>
        <w:rPr>
          <w:rFonts w:hint="eastAsia"/>
          <w:color w:val="auto"/>
        </w:rPr>
      </w:pPr>
      <w:r>
        <w:rPr>
          <w:rFonts w:hint="eastAsia"/>
          <w:b/>
          <w:color w:val="auto"/>
        </w:rPr>
        <w:t>18.5 施工期运行</w:t>
      </w:r>
    </w:p>
    <w:p>
      <w:pPr>
        <w:pageBreakBefore w:val="0"/>
        <w:kinsoku/>
        <w:wordWrap/>
        <w:overflowPunct/>
        <w:topLinePunct w:val="0"/>
        <w:autoSpaceDE/>
        <w:autoSpaceDN/>
        <w:bidi w:val="0"/>
        <w:spacing w:line="400" w:lineRule="exact"/>
        <w:ind w:firstLine="411" w:firstLineChars="196"/>
        <w:textAlignment w:val="auto"/>
        <w:rPr>
          <w:rFonts w:hint="eastAsia"/>
          <w:color w:val="auto"/>
        </w:rPr>
      </w:pPr>
      <w:r>
        <w:rPr>
          <w:rFonts w:hint="eastAsia"/>
          <w:color w:val="auto"/>
        </w:rPr>
        <w:t>18.5.1需要施工期运行单位工程或工程设备：</w:t>
      </w:r>
      <w:r>
        <w:rPr>
          <w:rFonts w:hint="eastAsia"/>
          <w:b/>
          <w:color w:val="auto"/>
          <w:u w:val="single"/>
        </w:rPr>
        <w:t xml:space="preserve"> 按监理人要求办理。</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18.6 试运行</w:t>
      </w:r>
    </w:p>
    <w:p>
      <w:pPr>
        <w:pageBreakBefore w:val="0"/>
        <w:kinsoku/>
        <w:wordWrap/>
        <w:overflowPunct/>
        <w:topLinePunct w:val="0"/>
        <w:autoSpaceDE/>
        <w:autoSpaceDN/>
        <w:bidi w:val="0"/>
        <w:spacing w:line="400" w:lineRule="exact"/>
        <w:ind w:firstLine="420" w:firstLineChars="200"/>
        <w:textAlignment w:val="auto"/>
        <w:rPr>
          <w:rFonts w:hint="eastAsia"/>
          <w:b/>
          <w:color w:val="auto"/>
          <w:u w:val="single"/>
        </w:rPr>
      </w:pPr>
      <w:r>
        <w:rPr>
          <w:rFonts w:hint="eastAsia"/>
          <w:color w:val="auto"/>
        </w:rPr>
        <w:t>18.6.1 试运行的组织及费用承担：</w:t>
      </w:r>
      <w:r>
        <w:rPr>
          <w:rFonts w:hint="eastAsia"/>
          <w:b/>
          <w:color w:val="auto"/>
          <w:u w:val="single"/>
        </w:rPr>
        <w:t xml:space="preserve"> 承包人负责。</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18.7 竣工清场</w:t>
      </w:r>
    </w:p>
    <w:p>
      <w:pPr>
        <w:pageBreakBefore w:val="0"/>
        <w:kinsoku/>
        <w:wordWrap/>
        <w:overflowPunct/>
        <w:topLinePunct w:val="0"/>
        <w:autoSpaceDE/>
        <w:autoSpaceDN/>
        <w:bidi w:val="0"/>
        <w:spacing w:line="400" w:lineRule="exact"/>
        <w:ind w:firstLine="420" w:firstLineChars="200"/>
        <w:textAlignment w:val="auto"/>
        <w:rPr>
          <w:rFonts w:hint="eastAsia"/>
          <w:b/>
          <w:color w:val="auto"/>
          <w:u w:val="single"/>
        </w:rPr>
      </w:pPr>
      <w:r>
        <w:rPr>
          <w:rFonts w:hint="eastAsia"/>
          <w:color w:val="auto"/>
        </w:rPr>
        <w:t>18.7.1 竣工清场：</w:t>
      </w:r>
      <w:r>
        <w:rPr>
          <w:rFonts w:hint="eastAsia"/>
          <w:b/>
          <w:color w:val="auto"/>
          <w:u w:val="single"/>
        </w:rPr>
        <w:t>由承包人按发包人要求执行。</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18.8 施工队伍的撤离</w:t>
      </w:r>
    </w:p>
    <w:p>
      <w:pPr>
        <w:pageBreakBefore w:val="0"/>
        <w:kinsoku/>
        <w:wordWrap/>
        <w:overflowPunct/>
        <w:topLinePunct w:val="0"/>
        <w:autoSpaceDE/>
        <w:autoSpaceDN/>
        <w:bidi w:val="0"/>
        <w:spacing w:line="400" w:lineRule="exact"/>
        <w:ind w:firstLine="420" w:firstLineChars="200"/>
        <w:textAlignment w:val="auto"/>
        <w:rPr>
          <w:rFonts w:hint="eastAsia"/>
          <w:color w:val="auto"/>
        </w:rPr>
      </w:pPr>
      <w:r>
        <w:rPr>
          <w:rFonts w:hint="eastAsia"/>
          <w:color w:val="auto"/>
        </w:rPr>
        <w:t>施工人员、施工设备及临时工程撤离的要求：</w:t>
      </w:r>
      <w:r>
        <w:rPr>
          <w:rFonts w:hint="eastAsia"/>
          <w:b/>
          <w:color w:val="auto"/>
          <w:u w:val="single"/>
        </w:rPr>
        <w:t>由承包人按发包人要求执行</w:t>
      </w:r>
      <w:r>
        <w:rPr>
          <w:rFonts w:hint="eastAsia"/>
          <w:color w:val="auto"/>
        </w:rPr>
        <w:t>。</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19.  缺陷责任与保修责任</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19.7  保修责任</w:t>
      </w:r>
    </w:p>
    <w:p>
      <w:pPr>
        <w:pageBreakBefore w:val="0"/>
        <w:kinsoku/>
        <w:wordWrap/>
        <w:overflowPunct/>
        <w:topLinePunct w:val="0"/>
        <w:autoSpaceDE/>
        <w:autoSpaceDN/>
        <w:bidi w:val="0"/>
        <w:spacing w:line="400" w:lineRule="exact"/>
        <w:textAlignment w:val="auto"/>
        <w:rPr>
          <w:rFonts w:hint="eastAsia"/>
          <w:color w:val="auto"/>
        </w:rPr>
      </w:pPr>
      <w:r>
        <w:rPr>
          <w:rFonts w:hint="eastAsia"/>
          <w:color w:val="auto"/>
        </w:rPr>
        <w:t xml:space="preserve">   工程质量保修范围、期限和责任：</w:t>
      </w:r>
      <w:r>
        <w:rPr>
          <w:rFonts w:hint="eastAsia"/>
          <w:b/>
          <w:color w:val="auto"/>
          <w:u w:val="single"/>
        </w:rPr>
        <w:t xml:space="preserve"> 按附后的《工程质量保修书》执行。</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20.  保险</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20.1工程保险</w:t>
      </w:r>
    </w:p>
    <w:p>
      <w:pPr>
        <w:pageBreakBefore w:val="0"/>
        <w:kinsoku/>
        <w:wordWrap/>
        <w:overflowPunct/>
        <w:topLinePunct w:val="0"/>
        <w:autoSpaceDE/>
        <w:autoSpaceDN/>
        <w:bidi w:val="0"/>
        <w:spacing w:line="400" w:lineRule="exact"/>
        <w:ind w:firstLine="420" w:firstLineChars="200"/>
        <w:textAlignment w:val="auto"/>
        <w:rPr>
          <w:rFonts w:hint="eastAsia"/>
          <w:b/>
          <w:color w:val="auto"/>
          <w:u w:val="single"/>
        </w:rPr>
      </w:pPr>
      <w:r>
        <w:rPr>
          <w:rFonts w:hint="eastAsia"/>
          <w:color w:val="auto"/>
        </w:rPr>
        <w:t xml:space="preserve">投保人： </w:t>
      </w:r>
      <w:r>
        <w:rPr>
          <w:rFonts w:hint="eastAsia"/>
          <w:b/>
          <w:color w:val="auto"/>
          <w:u w:val="single"/>
        </w:rPr>
        <w:t>承包人以发包人和承包人的共同名义向双方同意的保险人足额投保，费用由承包人负责。</w:t>
      </w:r>
    </w:p>
    <w:p>
      <w:pPr>
        <w:pageBreakBefore w:val="0"/>
        <w:kinsoku/>
        <w:wordWrap/>
        <w:overflowPunct/>
        <w:topLinePunct w:val="0"/>
        <w:autoSpaceDE/>
        <w:autoSpaceDN/>
        <w:bidi w:val="0"/>
        <w:spacing w:line="400" w:lineRule="exact"/>
        <w:ind w:firstLine="420" w:firstLineChars="200"/>
        <w:textAlignment w:val="auto"/>
        <w:rPr>
          <w:rFonts w:hint="eastAsia"/>
          <w:b/>
          <w:color w:val="auto"/>
          <w:u w:val="single"/>
        </w:rPr>
      </w:pPr>
      <w:r>
        <w:rPr>
          <w:rFonts w:hint="eastAsia"/>
          <w:color w:val="auto"/>
        </w:rPr>
        <w:t xml:space="preserve">投保内容： </w:t>
      </w:r>
      <w:r>
        <w:rPr>
          <w:rFonts w:hint="eastAsia"/>
          <w:b/>
          <w:color w:val="auto"/>
          <w:u w:val="single"/>
        </w:rPr>
        <w:t>按国家相关规定执行。</w:t>
      </w:r>
    </w:p>
    <w:p>
      <w:pPr>
        <w:pageBreakBefore w:val="0"/>
        <w:kinsoku/>
        <w:wordWrap/>
        <w:overflowPunct/>
        <w:topLinePunct w:val="0"/>
        <w:autoSpaceDE/>
        <w:autoSpaceDN/>
        <w:bidi w:val="0"/>
        <w:spacing w:line="400" w:lineRule="exact"/>
        <w:ind w:firstLine="420" w:firstLineChars="200"/>
        <w:textAlignment w:val="auto"/>
        <w:rPr>
          <w:rFonts w:hint="eastAsia"/>
          <w:b/>
          <w:color w:val="auto"/>
          <w:u w:val="single"/>
        </w:rPr>
      </w:pPr>
      <w:r>
        <w:rPr>
          <w:rFonts w:hint="eastAsia"/>
          <w:color w:val="auto"/>
        </w:rPr>
        <w:t xml:space="preserve">保险金额、保险费率和保险期限： </w:t>
      </w:r>
      <w:r>
        <w:rPr>
          <w:rFonts w:hint="eastAsia"/>
          <w:b/>
          <w:color w:val="auto"/>
          <w:u w:val="single"/>
        </w:rPr>
        <w:t>保险期限为从工程开工之日至竣工验收合格之日终止证书颁发前，其他详见保险凭证。</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20.4 第三责任险</w:t>
      </w:r>
    </w:p>
    <w:p>
      <w:pPr>
        <w:pageBreakBefore w:val="0"/>
        <w:kinsoku/>
        <w:wordWrap/>
        <w:overflowPunct/>
        <w:topLinePunct w:val="0"/>
        <w:autoSpaceDE/>
        <w:autoSpaceDN/>
        <w:bidi w:val="0"/>
        <w:spacing w:line="400" w:lineRule="exact"/>
        <w:ind w:firstLine="420" w:firstLineChars="200"/>
        <w:textAlignment w:val="auto"/>
        <w:rPr>
          <w:rFonts w:hint="eastAsia"/>
          <w:b/>
          <w:color w:val="auto"/>
          <w:u w:val="single"/>
        </w:rPr>
      </w:pPr>
      <w:r>
        <w:rPr>
          <w:rFonts w:hint="eastAsia"/>
          <w:color w:val="auto"/>
        </w:rPr>
        <w:t>第三者责任险的保险费率：</w:t>
      </w:r>
      <w:r>
        <w:rPr>
          <w:rFonts w:hint="eastAsia"/>
          <w:b/>
          <w:color w:val="auto"/>
          <w:u w:val="single"/>
        </w:rPr>
        <w:t>按相关规定执行。</w:t>
      </w:r>
    </w:p>
    <w:p>
      <w:pPr>
        <w:pageBreakBefore w:val="0"/>
        <w:kinsoku/>
        <w:wordWrap/>
        <w:overflowPunct/>
        <w:topLinePunct w:val="0"/>
        <w:autoSpaceDE/>
        <w:autoSpaceDN/>
        <w:bidi w:val="0"/>
        <w:spacing w:line="400" w:lineRule="exact"/>
        <w:ind w:firstLine="420" w:firstLineChars="200"/>
        <w:textAlignment w:val="auto"/>
        <w:rPr>
          <w:rFonts w:hint="eastAsia"/>
          <w:color w:val="auto"/>
        </w:rPr>
      </w:pPr>
      <w:r>
        <w:rPr>
          <w:rFonts w:hint="eastAsia"/>
          <w:color w:val="auto"/>
        </w:rPr>
        <w:t>第三者责任险的保险金额：</w:t>
      </w:r>
      <w:r>
        <w:rPr>
          <w:rFonts w:hint="eastAsia"/>
          <w:b/>
          <w:color w:val="auto"/>
          <w:u w:val="single"/>
        </w:rPr>
        <w:t>按相关规定执行</w:t>
      </w:r>
      <w:r>
        <w:rPr>
          <w:rFonts w:hint="eastAsia"/>
          <w:color w:val="auto"/>
        </w:rPr>
        <w:t>。</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20.5 其他保险</w:t>
      </w:r>
    </w:p>
    <w:p>
      <w:pPr>
        <w:pageBreakBefore w:val="0"/>
        <w:kinsoku/>
        <w:wordWrap/>
        <w:overflowPunct/>
        <w:topLinePunct w:val="0"/>
        <w:autoSpaceDE/>
        <w:autoSpaceDN/>
        <w:bidi w:val="0"/>
        <w:spacing w:line="400" w:lineRule="exact"/>
        <w:ind w:firstLine="420" w:firstLineChars="200"/>
        <w:textAlignment w:val="auto"/>
        <w:rPr>
          <w:rFonts w:hint="eastAsia"/>
          <w:b/>
          <w:color w:val="auto"/>
          <w:u w:val="single"/>
        </w:rPr>
      </w:pPr>
      <w:r>
        <w:rPr>
          <w:rFonts w:hint="eastAsia"/>
          <w:color w:val="auto"/>
        </w:rPr>
        <w:t xml:space="preserve">需要投保其他内容、保险金额、费率及期限等： </w:t>
      </w:r>
      <w:r>
        <w:rPr>
          <w:rFonts w:hint="eastAsia"/>
          <w:b/>
          <w:color w:val="auto"/>
          <w:u w:val="single"/>
        </w:rPr>
        <w:t>由承包人负责。</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20.6  对各项保险的一般要求</w:t>
      </w:r>
    </w:p>
    <w:p>
      <w:pPr>
        <w:pageBreakBefore w:val="0"/>
        <w:kinsoku/>
        <w:wordWrap/>
        <w:overflowPunct/>
        <w:topLinePunct w:val="0"/>
        <w:autoSpaceDE/>
        <w:autoSpaceDN/>
        <w:bidi w:val="0"/>
        <w:spacing w:line="400" w:lineRule="exact"/>
        <w:ind w:firstLine="420" w:firstLineChars="200"/>
        <w:textAlignment w:val="auto"/>
        <w:rPr>
          <w:rFonts w:hint="eastAsia"/>
          <w:color w:val="auto"/>
        </w:rPr>
      </w:pPr>
      <w:r>
        <w:rPr>
          <w:rFonts w:hint="eastAsia"/>
          <w:color w:val="auto"/>
        </w:rPr>
        <w:t>20.6.1  保险凭证</w:t>
      </w:r>
    </w:p>
    <w:p>
      <w:pPr>
        <w:pageBreakBefore w:val="0"/>
        <w:kinsoku/>
        <w:wordWrap/>
        <w:overflowPunct/>
        <w:topLinePunct w:val="0"/>
        <w:autoSpaceDE/>
        <w:autoSpaceDN/>
        <w:bidi w:val="0"/>
        <w:spacing w:line="400" w:lineRule="exact"/>
        <w:ind w:firstLine="420" w:firstLineChars="200"/>
        <w:textAlignment w:val="auto"/>
        <w:rPr>
          <w:rFonts w:hint="eastAsia"/>
          <w:color w:val="auto"/>
        </w:rPr>
      </w:pPr>
      <w:r>
        <w:rPr>
          <w:rFonts w:hint="eastAsia"/>
          <w:color w:val="auto"/>
        </w:rPr>
        <w:t>保险条件：</w:t>
      </w:r>
      <w:r>
        <w:rPr>
          <w:rFonts w:hint="eastAsia"/>
          <w:b/>
          <w:color w:val="auto"/>
          <w:u w:val="single"/>
        </w:rPr>
        <w:t>按国家相关规定和发包人要求执行。</w:t>
      </w:r>
    </w:p>
    <w:p>
      <w:pPr>
        <w:pageBreakBefore w:val="0"/>
        <w:kinsoku/>
        <w:wordWrap/>
        <w:overflowPunct/>
        <w:topLinePunct w:val="0"/>
        <w:autoSpaceDE/>
        <w:autoSpaceDN/>
        <w:bidi w:val="0"/>
        <w:spacing w:line="400" w:lineRule="exact"/>
        <w:ind w:firstLine="420" w:firstLineChars="200"/>
        <w:textAlignment w:val="auto"/>
        <w:rPr>
          <w:rFonts w:hint="eastAsia"/>
          <w:color w:val="auto"/>
        </w:rPr>
      </w:pPr>
      <w:r>
        <w:rPr>
          <w:rFonts w:hint="eastAsia"/>
          <w:color w:val="auto"/>
        </w:rPr>
        <w:t xml:space="preserve">承包人提交保险凭证的期限： </w:t>
      </w:r>
      <w:r>
        <w:rPr>
          <w:rFonts w:hint="eastAsia"/>
          <w:b/>
          <w:color w:val="auto"/>
          <w:u w:val="single"/>
        </w:rPr>
        <w:t>工程开工前。</w:t>
      </w:r>
    </w:p>
    <w:p>
      <w:pPr>
        <w:pageBreakBefore w:val="0"/>
        <w:kinsoku/>
        <w:wordWrap/>
        <w:overflowPunct/>
        <w:topLinePunct w:val="0"/>
        <w:autoSpaceDE/>
        <w:autoSpaceDN/>
        <w:bidi w:val="0"/>
        <w:spacing w:line="400" w:lineRule="exact"/>
        <w:ind w:firstLine="420" w:firstLineChars="200"/>
        <w:textAlignment w:val="auto"/>
        <w:rPr>
          <w:rFonts w:hint="eastAsia"/>
          <w:color w:val="auto"/>
        </w:rPr>
      </w:pPr>
      <w:r>
        <w:rPr>
          <w:rFonts w:hint="eastAsia"/>
          <w:color w:val="auto"/>
        </w:rPr>
        <w:t>20.6.4  对各项保险的一般要求</w:t>
      </w:r>
    </w:p>
    <w:p>
      <w:pPr>
        <w:pageBreakBefore w:val="0"/>
        <w:kinsoku/>
        <w:wordWrap/>
        <w:overflowPunct/>
        <w:topLinePunct w:val="0"/>
        <w:autoSpaceDE/>
        <w:autoSpaceDN/>
        <w:bidi w:val="0"/>
        <w:spacing w:line="400" w:lineRule="exact"/>
        <w:ind w:firstLine="420" w:firstLineChars="200"/>
        <w:textAlignment w:val="auto"/>
        <w:rPr>
          <w:rFonts w:hint="eastAsia"/>
          <w:color w:val="auto"/>
        </w:rPr>
      </w:pPr>
      <w:r>
        <w:rPr>
          <w:rFonts w:hint="eastAsia"/>
          <w:color w:val="auto"/>
        </w:rPr>
        <w:t xml:space="preserve">保险金不足以补偿损失时，应由承包人负责补偿的范围与金额： </w:t>
      </w:r>
      <w:r>
        <w:rPr>
          <w:rFonts w:hint="eastAsia"/>
          <w:b/>
          <w:color w:val="auto"/>
          <w:u w:val="single"/>
        </w:rPr>
        <w:t>以发包人和承包人共同名义投保的，当保险金不足以补偿损失时，由承包人负责补偿；发包人、承包人以各自名义投保的，保险金不足以补偿损失时，由各自负责其补偿。</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21. 不可抗力</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21.1 不可抗力的确认</w:t>
      </w:r>
    </w:p>
    <w:p>
      <w:pPr>
        <w:pageBreakBefore w:val="0"/>
        <w:kinsoku/>
        <w:wordWrap/>
        <w:overflowPunct/>
        <w:topLinePunct w:val="0"/>
        <w:autoSpaceDE/>
        <w:autoSpaceDN/>
        <w:bidi w:val="0"/>
        <w:spacing w:line="400" w:lineRule="exact"/>
        <w:ind w:firstLine="420" w:firstLineChars="200"/>
        <w:textAlignment w:val="auto"/>
        <w:rPr>
          <w:rFonts w:hint="eastAsia"/>
          <w:b/>
          <w:color w:val="auto"/>
          <w:u w:val="single"/>
        </w:rPr>
      </w:pPr>
      <w:r>
        <w:rPr>
          <w:rFonts w:hint="eastAsia"/>
          <w:color w:val="auto"/>
        </w:rPr>
        <w:t xml:space="preserve">不可抗力的范围： </w:t>
      </w:r>
      <w:r>
        <w:rPr>
          <w:rFonts w:hint="eastAsia"/>
          <w:b/>
          <w:color w:val="auto"/>
          <w:u w:val="single"/>
        </w:rPr>
        <w:t>按通用合同条款。</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21.3 不可抗力后果及其处理</w:t>
      </w:r>
    </w:p>
    <w:p>
      <w:pPr>
        <w:pageBreakBefore w:val="0"/>
        <w:kinsoku/>
        <w:wordWrap/>
        <w:overflowPunct/>
        <w:topLinePunct w:val="0"/>
        <w:autoSpaceDE/>
        <w:autoSpaceDN/>
        <w:bidi w:val="0"/>
        <w:spacing w:line="400" w:lineRule="exact"/>
        <w:ind w:firstLine="420" w:firstLineChars="200"/>
        <w:textAlignment w:val="auto"/>
        <w:rPr>
          <w:rFonts w:hint="eastAsia"/>
          <w:color w:val="auto"/>
        </w:rPr>
      </w:pPr>
      <w:r>
        <w:rPr>
          <w:rFonts w:hint="eastAsia"/>
          <w:color w:val="auto"/>
        </w:rPr>
        <w:t>21.3.1不可抗力造成损害的责任</w:t>
      </w:r>
    </w:p>
    <w:p>
      <w:pPr>
        <w:pageBreakBefore w:val="0"/>
        <w:kinsoku/>
        <w:wordWrap/>
        <w:overflowPunct/>
        <w:topLinePunct w:val="0"/>
        <w:autoSpaceDE/>
        <w:autoSpaceDN/>
        <w:bidi w:val="0"/>
        <w:spacing w:line="400" w:lineRule="exact"/>
        <w:ind w:firstLine="420" w:firstLineChars="200"/>
        <w:textAlignment w:val="auto"/>
        <w:rPr>
          <w:rFonts w:hint="eastAsia"/>
          <w:color w:val="auto"/>
        </w:rPr>
      </w:pPr>
      <w:r>
        <w:rPr>
          <w:rFonts w:hint="eastAsia"/>
          <w:color w:val="auto"/>
        </w:rPr>
        <w:t xml:space="preserve">不可抗力导致的人员伤亡、财产损失、费用增加和（或）工期延误，合同双方按以下方法承担： </w:t>
      </w:r>
      <w:r>
        <w:rPr>
          <w:rFonts w:hint="eastAsia"/>
          <w:b/>
          <w:color w:val="auto"/>
          <w:u w:val="single"/>
        </w:rPr>
        <w:t>按通用合同条款执行。</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22. 违约</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22.1承包人违约</w:t>
      </w:r>
    </w:p>
    <w:p>
      <w:pPr>
        <w:pageBreakBefore w:val="0"/>
        <w:kinsoku/>
        <w:wordWrap/>
        <w:overflowPunct/>
        <w:topLinePunct w:val="0"/>
        <w:autoSpaceDE/>
        <w:autoSpaceDN/>
        <w:bidi w:val="0"/>
        <w:spacing w:line="400" w:lineRule="exact"/>
        <w:textAlignment w:val="auto"/>
        <w:rPr>
          <w:rFonts w:hint="eastAsia" w:ascii="宋体" w:hAnsi="宋体" w:cs="宋体"/>
          <w:b/>
          <w:color w:val="auto"/>
          <w:szCs w:val="21"/>
        </w:rPr>
      </w:pPr>
      <w:r>
        <w:rPr>
          <w:rFonts w:hint="eastAsia" w:ascii="宋体" w:hAnsi="宋体" w:cs="宋体"/>
          <w:b/>
          <w:color w:val="auto"/>
          <w:szCs w:val="21"/>
        </w:rPr>
        <w:t>22.1.1 承包人违约的情形</w:t>
      </w:r>
    </w:p>
    <w:p>
      <w:pPr>
        <w:pageBreakBefore w:val="0"/>
        <w:kinsoku/>
        <w:wordWrap/>
        <w:overflowPunct/>
        <w:topLinePunct w:val="0"/>
        <w:autoSpaceDE/>
        <w:autoSpaceDN/>
        <w:bidi w:val="0"/>
        <w:spacing w:line="400" w:lineRule="exact"/>
        <w:ind w:firstLine="413" w:firstLineChars="196"/>
        <w:textAlignment w:val="auto"/>
        <w:rPr>
          <w:rFonts w:hint="eastAsia" w:ascii="宋体" w:hAnsi="宋体" w:cs="宋体"/>
          <w:b/>
          <w:color w:val="auto"/>
          <w:szCs w:val="21"/>
        </w:rPr>
      </w:pPr>
      <w:r>
        <w:rPr>
          <w:rFonts w:hint="eastAsia" w:ascii="宋体" w:hAnsi="宋体" w:cs="宋体"/>
          <w:b/>
          <w:color w:val="auto"/>
          <w:szCs w:val="21"/>
        </w:rPr>
        <w:t>增加下列条款：</w:t>
      </w:r>
    </w:p>
    <w:p>
      <w:pPr>
        <w:pageBreakBefore w:val="0"/>
        <w:kinsoku/>
        <w:wordWrap/>
        <w:overflowPunct/>
        <w:topLinePunct w:val="0"/>
        <w:autoSpaceDE/>
        <w:autoSpaceDN/>
        <w:bidi w:val="0"/>
        <w:spacing w:line="400" w:lineRule="exact"/>
        <w:ind w:firstLine="413" w:firstLineChars="196"/>
        <w:textAlignment w:val="auto"/>
        <w:rPr>
          <w:rFonts w:hint="eastAsia"/>
          <w:b/>
          <w:color w:val="auto"/>
        </w:rPr>
      </w:pPr>
      <w:r>
        <w:rPr>
          <w:rFonts w:hint="eastAsia"/>
          <w:b/>
          <w:color w:val="auto"/>
          <w:u w:val="single"/>
        </w:rPr>
        <w:t>（8）如果因承包人的原因工程质量达不到合同协议书第四条约定的质量标准，承包人在通用合同条款第22.1.2（2）目约定的指定期限内不进行整改或经整改后仍不能达到要求的，发包人有权单方解除合同；发包人发现承包人将本工程转包、未经发包人同意进行分包的，承包人必须在7日内纠正，否则发包人有权单方解除合同，并按通用合同条款第22.1.3项、第22.1.4项和第22.1.5项的约定进行处理，同时不退还承包人全部履约保证金，并承担由此给发包人造成的全部经济损失；承包人在收到发包人解除合同通知14天内，向发包人交齐全部工程资料、图纸等并撤出施工场地，承包人撤出施工场地应遵守通用合同条款第18.7.1项的约定，撤场费用由承包人承担。</w:t>
      </w:r>
    </w:p>
    <w:p>
      <w:pPr>
        <w:pageBreakBefore w:val="0"/>
        <w:kinsoku/>
        <w:wordWrap/>
        <w:overflowPunct/>
        <w:topLinePunct w:val="0"/>
        <w:autoSpaceDE/>
        <w:autoSpaceDN/>
        <w:bidi w:val="0"/>
        <w:spacing w:line="400" w:lineRule="exact"/>
        <w:ind w:firstLine="413" w:firstLineChars="196"/>
        <w:textAlignment w:val="auto"/>
        <w:rPr>
          <w:rFonts w:hint="eastAsia"/>
          <w:b/>
          <w:color w:val="auto"/>
        </w:rPr>
      </w:pPr>
      <w:r>
        <w:rPr>
          <w:rFonts w:hint="eastAsia"/>
          <w:b/>
          <w:color w:val="auto"/>
          <w:u w:val="single"/>
        </w:rPr>
        <w:t>（9）承包人违反国家和重庆市安全生产、文明施工、环保及环卫有关规定的，除接受相关规定进行处罚外，每发现一次或一处，发包人有权要求承包人支付5000元违约金，同时承包人必须按监理人或发包人的要求立即进行整改直至合格。</w:t>
      </w:r>
    </w:p>
    <w:p>
      <w:pPr>
        <w:pageBreakBefore w:val="0"/>
        <w:kinsoku/>
        <w:wordWrap/>
        <w:overflowPunct/>
        <w:topLinePunct w:val="0"/>
        <w:autoSpaceDE/>
        <w:autoSpaceDN/>
        <w:bidi w:val="0"/>
        <w:spacing w:line="400" w:lineRule="exact"/>
        <w:ind w:firstLine="413" w:firstLineChars="196"/>
        <w:textAlignment w:val="auto"/>
        <w:rPr>
          <w:rFonts w:hint="eastAsia"/>
          <w:b/>
          <w:color w:val="auto"/>
        </w:rPr>
      </w:pPr>
      <w:r>
        <w:rPr>
          <w:rFonts w:hint="eastAsia"/>
          <w:b/>
          <w:color w:val="auto"/>
          <w:u w:val="single"/>
        </w:rPr>
        <w:t>（10）承包人向监理人和发包人提供的所有工程资料和数据必须真实可靠。经检查发现承包人有弄虚作假的，每发现一次，发包人有权要求承包人支付 1000元违约金。</w:t>
      </w:r>
    </w:p>
    <w:p>
      <w:pPr>
        <w:pageBreakBefore w:val="0"/>
        <w:kinsoku/>
        <w:wordWrap/>
        <w:overflowPunct/>
        <w:topLinePunct w:val="0"/>
        <w:autoSpaceDE/>
        <w:autoSpaceDN/>
        <w:bidi w:val="0"/>
        <w:spacing w:line="400" w:lineRule="exact"/>
        <w:ind w:firstLine="413" w:firstLineChars="196"/>
        <w:textAlignment w:val="auto"/>
        <w:rPr>
          <w:rFonts w:hint="eastAsia"/>
          <w:b/>
          <w:color w:val="auto"/>
          <w:u w:val="single"/>
        </w:rPr>
      </w:pPr>
      <w:r>
        <w:rPr>
          <w:rFonts w:hint="eastAsia"/>
          <w:b/>
          <w:color w:val="auto"/>
          <w:u w:val="single"/>
        </w:rPr>
        <w:t>（11）承包人在工程收方中采用欺骗手段或弄虚作假的，每发现一次，发包人有权要求承包人支付</w:t>
      </w:r>
      <w:r>
        <w:rPr>
          <w:rFonts w:hint="eastAsia"/>
          <w:b/>
          <w:color w:val="auto"/>
          <w:u w:val="single"/>
          <w:lang w:eastAsia="zh-CN"/>
        </w:rPr>
        <w:t>5万元－10万元</w:t>
      </w:r>
      <w:r>
        <w:rPr>
          <w:rFonts w:hint="eastAsia"/>
          <w:b/>
          <w:color w:val="auto"/>
          <w:u w:val="single"/>
        </w:rPr>
        <w:t>的违约金。</w:t>
      </w:r>
    </w:p>
    <w:p>
      <w:pPr>
        <w:pageBreakBefore w:val="0"/>
        <w:kinsoku/>
        <w:wordWrap/>
        <w:overflowPunct/>
        <w:topLinePunct w:val="0"/>
        <w:autoSpaceDE/>
        <w:autoSpaceDN/>
        <w:bidi w:val="0"/>
        <w:spacing w:line="400" w:lineRule="exact"/>
        <w:ind w:firstLine="413" w:firstLineChars="196"/>
        <w:textAlignment w:val="auto"/>
        <w:rPr>
          <w:rFonts w:hint="eastAsia"/>
          <w:b/>
          <w:color w:val="auto"/>
        </w:rPr>
      </w:pPr>
      <w:r>
        <w:rPr>
          <w:rFonts w:hint="eastAsia"/>
          <w:b/>
          <w:color w:val="auto"/>
          <w:u w:val="single"/>
        </w:rPr>
        <w:t>（12）在施工过程中因承包人自身原因停工7 日以上，发包人或监理人应发出限期整改通知书，承包人在规定期限内仍不整改的，视为承包人不履行合同，发包人有权单方解除合同。承包人在接到发包人解除合同通知后7日内自行退场，其履约保证金不予退还，给发包人造成的损失超过履约保证金数额的，承包人还应对超过部分进行赔偿。</w:t>
      </w:r>
    </w:p>
    <w:p>
      <w:pPr>
        <w:pageBreakBefore w:val="0"/>
        <w:kinsoku/>
        <w:wordWrap/>
        <w:overflowPunct/>
        <w:topLinePunct w:val="0"/>
        <w:autoSpaceDE/>
        <w:autoSpaceDN/>
        <w:bidi w:val="0"/>
        <w:spacing w:line="400" w:lineRule="exact"/>
        <w:ind w:firstLine="413" w:firstLineChars="196"/>
        <w:textAlignment w:val="auto"/>
        <w:rPr>
          <w:rFonts w:hint="eastAsia"/>
          <w:b/>
          <w:color w:val="auto"/>
          <w:u w:val="single"/>
        </w:rPr>
      </w:pPr>
      <w:r>
        <w:rPr>
          <w:rFonts w:hint="eastAsia"/>
          <w:b/>
          <w:color w:val="auto"/>
          <w:u w:val="single"/>
        </w:rPr>
        <w:t>（13）承包人应严格遵守通用合同条款第4.8.1的约定，不能以任何原因拖欠民工工资。如果出现承包人拖欠民工工资行为，经确认后，发包人有权从承包人工程款或履约保证金或农民工工资保证金中直接支付给民工，并有权要求承包人支付1%的违约金。如发生民工集体上访、聚众滋事，扰乱正常施工、发包人办公及政府机关、道路交通等社会公共秩序的，承包人项目经理或单位主要负责人必须在事件发生前及时协调，事件发生后必须在第一时间到达现场处理，防止事态扩大。同时每出现一次，承包人向发包人支付违约金500元。</w:t>
      </w:r>
    </w:p>
    <w:p>
      <w:pPr>
        <w:pageBreakBefore w:val="0"/>
        <w:kinsoku/>
        <w:wordWrap/>
        <w:overflowPunct/>
        <w:topLinePunct w:val="0"/>
        <w:autoSpaceDE/>
        <w:autoSpaceDN/>
        <w:bidi w:val="0"/>
        <w:spacing w:line="400" w:lineRule="exact"/>
        <w:ind w:firstLine="413" w:firstLineChars="196"/>
        <w:textAlignment w:val="auto"/>
        <w:rPr>
          <w:rFonts w:hint="eastAsia"/>
          <w:b/>
          <w:color w:val="auto"/>
          <w:u w:val="single"/>
        </w:rPr>
      </w:pPr>
      <w:r>
        <w:rPr>
          <w:rFonts w:hint="eastAsia"/>
          <w:b/>
          <w:color w:val="auto"/>
          <w:u w:val="single"/>
        </w:rPr>
        <w:t>（14）施工合同签订后，承包人必须按合同约定工期内完成建设任务，若承包人不按审批的施工组织设计施工或不服从发包人及监理人依法管理的，每发生一次，发包人有权要求承包人支付5000元违约金。</w:t>
      </w:r>
    </w:p>
    <w:p>
      <w:pPr>
        <w:pageBreakBefore w:val="0"/>
        <w:kinsoku/>
        <w:wordWrap/>
        <w:overflowPunct/>
        <w:topLinePunct w:val="0"/>
        <w:autoSpaceDE/>
        <w:autoSpaceDN/>
        <w:bidi w:val="0"/>
        <w:spacing w:line="400" w:lineRule="exact"/>
        <w:ind w:firstLine="413" w:firstLineChars="196"/>
        <w:textAlignment w:val="auto"/>
        <w:rPr>
          <w:rFonts w:hint="eastAsia"/>
          <w:b/>
          <w:color w:val="auto"/>
          <w:u w:val="single"/>
        </w:rPr>
      </w:pPr>
      <w:r>
        <w:rPr>
          <w:rFonts w:hint="eastAsia"/>
          <w:b/>
          <w:color w:val="auto"/>
          <w:u w:val="single"/>
        </w:rPr>
        <w:t>（15）发包人发现承包人将承接的工程转包、违法分包、挂靠（指承包人允许他人以承包人的名义承担本合同项目）的，发包人应当报相关行政主管部门依法处理。承包人拒不改正违法行为的，发包人有权解除合同，履约保证金不予退还，给发包人造成的损失超过履约保证金数额的，承包人还应对超过部分进行赔偿。</w:t>
      </w:r>
    </w:p>
    <w:p>
      <w:pPr>
        <w:pageBreakBefore w:val="0"/>
        <w:kinsoku/>
        <w:wordWrap/>
        <w:overflowPunct/>
        <w:topLinePunct w:val="0"/>
        <w:autoSpaceDE/>
        <w:autoSpaceDN/>
        <w:bidi w:val="0"/>
        <w:spacing w:line="400" w:lineRule="exact"/>
        <w:ind w:firstLine="413" w:firstLineChars="196"/>
        <w:textAlignment w:val="auto"/>
        <w:rPr>
          <w:rFonts w:hint="eastAsia"/>
          <w:b/>
          <w:color w:val="auto"/>
        </w:rPr>
      </w:pPr>
      <w:r>
        <w:rPr>
          <w:rFonts w:hint="eastAsia"/>
          <w:b/>
          <w:color w:val="auto"/>
          <w:u w:val="single"/>
        </w:rPr>
        <w:t>（16）承包人应加强对招聘劳务工的管理，积极配合公安机关对外来暂住人口的管理，主动加强与当地公安机关的联系。承包人应指定专人对劳务工本着来者登记、走者注销的原则进行动态管理，对劳务工凭本人居民身份证原件进行登记。如在公安机关或发包人的检查中每发现一次承包人对劳务工没有登记或登记与现场用工不符的，承包人向发包人支付违约金500元。</w:t>
      </w:r>
    </w:p>
    <w:p>
      <w:pPr>
        <w:pageBreakBefore w:val="0"/>
        <w:kinsoku/>
        <w:wordWrap/>
        <w:overflowPunct/>
        <w:topLinePunct w:val="0"/>
        <w:autoSpaceDE/>
        <w:autoSpaceDN/>
        <w:bidi w:val="0"/>
        <w:spacing w:line="400" w:lineRule="exact"/>
        <w:ind w:firstLine="413" w:firstLineChars="196"/>
        <w:textAlignment w:val="auto"/>
        <w:rPr>
          <w:b/>
          <w:color w:val="auto"/>
          <w:u w:val="single"/>
        </w:rPr>
      </w:pPr>
      <w:r>
        <w:rPr>
          <w:rFonts w:hint="eastAsia"/>
          <w:b/>
          <w:color w:val="auto"/>
          <w:u w:val="single"/>
        </w:rPr>
        <w:t>（17）工程项目部管理人员必须与投标文件中拟派人员相符，并到位履职，否则发包人有权单方解除合同，承包人的履约保证金不予退还，给发包人造成的损失超过履约保证金数额的，承包人还应对超过部分予以赔偿。</w:t>
      </w:r>
    </w:p>
    <w:p>
      <w:pPr>
        <w:pageBreakBefore w:val="0"/>
        <w:kinsoku/>
        <w:wordWrap/>
        <w:overflowPunct/>
        <w:topLinePunct w:val="0"/>
        <w:autoSpaceDE/>
        <w:autoSpaceDN/>
        <w:bidi w:val="0"/>
        <w:spacing w:line="400" w:lineRule="exact"/>
        <w:ind w:firstLine="413" w:firstLineChars="196"/>
        <w:textAlignment w:val="auto"/>
        <w:rPr>
          <w:rFonts w:hint="eastAsia"/>
          <w:b/>
          <w:color w:val="auto"/>
          <w:szCs w:val="22"/>
          <w:u w:val="single"/>
        </w:rPr>
      </w:pPr>
      <w:r>
        <w:rPr>
          <w:rFonts w:hint="eastAsia"/>
          <w:b/>
          <w:color w:val="auto"/>
          <w:szCs w:val="22"/>
          <w:u w:val="single"/>
        </w:rPr>
        <w:t>（18）项目开工后，工程项目部主要管理人员应常驻施工现场，若因生病等特殊情况需要请假的，应上报发包人获得批准，无故缺岗的，每发现一次，发包人有权要求承包人支付</w:t>
      </w:r>
      <w:r>
        <w:rPr>
          <w:rFonts w:hint="eastAsia"/>
          <w:b/>
          <w:color w:val="auto"/>
          <w:szCs w:val="22"/>
          <w:u w:val="single"/>
          <w:lang w:val="en-US" w:eastAsia="zh-CN"/>
        </w:rPr>
        <w:t>500</w:t>
      </w:r>
      <w:r>
        <w:rPr>
          <w:rFonts w:hint="eastAsia"/>
          <w:b/>
          <w:color w:val="auto"/>
          <w:szCs w:val="22"/>
          <w:u w:val="single"/>
        </w:rPr>
        <w:t>元违约金，项目经理无故缺岗的，除要求支付违约金外，还将上报至建设监督部门依法处理。</w:t>
      </w:r>
    </w:p>
    <w:p>
      <w:pPr>
        <w:pageBreakBefore w:val="0"/>
        <w:kinsoku/>
        <w:wordWrap/>
        <w:overflowPunct/>
        <w:topLinePunct w:val="0"/>
        <w:autoSpaceDE/>
        <w:autoSpaceDN/>
        <w:bidi w:val="0"/>
        <w:spacing w:line="400" w:lineRule="exact"/>
        <w:ind w:firstLine="413" w:firstLineChars="196"/>
        <w:textAlignment w:val="auto"/>
        <w:rPr>
          <w:rFonts w:hint="eastAsia"/>
          <w:b/>
          <w:color w:val="auto"/>
          <w:u w:val="single"/>
        </w:rPr>
      </w:pPr>
      <w:r>
        <w:rPr>
          <w:rFonts w:hint="eastAsia"/>
          <w:b/>
          <w:color w:val="auto"/>
          <w:u w:val="single"/>
        </w:rPr>
        <w:t>（19）若承包人出现以下情形之一，经发包人催告后仍不配合，则视为承包人严重违约，发包人有权解除合同，其履约保证金不予退还。</w:t>
      </w:r>
    </w:p>
    <w:p>
      <w:pPr>
        <w:pageBreakBefore w:val="0"/>
        <w:kinsoku/>
        <w:wordWrap/>
        <w:overflowPunct/>
        <w:topLinePunct w:val="0"/>
        <w:autoSpaceDE/>
        <w:autoSpaceDN/>
        <w:bidi w:val="0"/>
        <w:spacing w:line="400" w:lineRule="exact"/>
        <w:ind w:firstLine="413" w:firstLineChars="196"/>
        <w:textAlignment w:val="auto"/>
        <w:rPr>
          <w:rFonts w:hint="eastAsia"/>
          <w:b/>
          <w:color w:val="auto"/>
          <w:u w:val="single"/>
        </w:rPr>
      </w:pPr>
      <w:r>
        <w:rPr>
          <w:rFonts w:hint="eastAsia"/>
          <w:b/>
          <w:color w:val="auto"/>
          <w:u w:val="single"/>
        </w:rPr>
        <w:t>a.本工程施工合同签订后7 日内，承包人必须向建设行政主管部门等部门缴纳办理本工程开工前的建设手续的相关费用（如农民工工资保障金等）而未行办理缴纳的；</w:t>
      </w:r>
    </w:p>
    <w:p>
      <w:pPr>
        <w:pageBreakBefore w:val="0"/>
        <w:kinsoku/>
        <w:wordWrap/>
        <w:overflowPunct/>
        <w:topLinePunct w:val="0"/>
        <w:autoSpaceDE/>
        <w:autoSpaceDN/>
        <w:bidi w:val="0"/>
        <w:spacing w:line="400" w:lineRule="exact"/>
        <w:ind w:firstLine="413" w:firstLineChars="196"/>
        <w:textAlignment w:val="auto"/>
        <w:rPr>
          <w:rFonts w:hint="eastAsia"/>
          <w:b/>
          <w:color w:val="auto"/>
          <w:u w:val="single"/>
        </w:rPr>
      </w:pPr>
      <w:r>
        <w:rPr>
          <w:rFonts w:hint="eastAsia"/>
          <w:b/>
          <w:color w:val="auto"/>
          <w:u w:val="single"/>
        </w:rPr>
        <w:t>b.本工程施工合同签订后7 日内，承包人必须配合发包人办理完成本工程开工前的相关建设手续而未行配合的；</w:t>
      </w:r>
    </w:p>
    <w:p>
      <w:pPr>
        <w:pageBreakBefore w:val="0"/>
        <w:kinsoku/>
        <w:wordWrap/>
        <w:overflowPunct/>
        <w:topLinePunct w:val="0"/>
        <w:autoSpaceDE/>
        <w:autoSpaceDN/>
        <w:bidi w:val="0"/>
        <w:spacing w:line="400" w:lineRule="exact"/>
        <w:ind w:firstLine="413" w:firstLineChars="196"/>
        <w:textAlignment w:val="auto"/>
        <w:rPr>
          <w:rFonts w:hint="eastAsia"/>
          <w:b/>
          <w:color w:val="auto"/>
          <w:u w:val="single"/>
        </w:rPr>
      </w:pPr>
      <w:r>
        <w:rPr>
          <w:rFonts w:hint="eastAsia"/>
          <w:b/>
          <w:color w:val="auto"/>
          <w:u w:val="single"/>
        </w:rPr>
        <w:t>c.本工程施工合同签订后 7日内，承包人必须按监理人要求向监理人提供相关资料而未行提交的；</w:t>
      </w:r>
    </w:p>
    <w:p>
      <w:pPr>
        <w:pageBreakBefore w:val="0"/>
        <w:kinsoku/>
        <w:wordWrap/>
        <w:overflowPunct/>
        <w:topLinePunct w:val="0"/>
        <w:autoSpaceDE/>
        <w:autoSpaceDN/>
        <w:bidi w:val="0"/>
        <w:spacing w:line="400" w:lineRule="exact"/>
        <w:ind w:firstLine="413" w:firstLineChars="196"/>
        <w:textAlignment w:val="auto"/>
        <w:rPr>
          <w:rFonts w:hint="eastAsia"/>
          <w:b/>
          <w:color w:val="auto"/>
          <w:u w:val="single"/>
        </w:rPr>
      </w:pPr>
      <w:r>
        <w:rPr>
          <w:rFonts w:hint="eastAsia"/>
          <w:b/>
          <w:color w:val="auto"/>
          <w:u w:val="single"/>
        </w:rPr>
        <w:t>d.本工程开工令下达后，承包人未按监理单位批准的施工组织设计方案正常组织施工的。</w:t>
      </w:r>
    </w:p>
    <w:p>
      <w:pPr>
        <w:pageBreakBefore w:val="0"/>
        <w:kinsoku/>
        <w:wordWrap/>
        <w:overflowPunct/>
        <w:topLinePunct w:val="0"/>
        <w:autoSpaceDE/>
        <w:autoSpaceDN/>
        <w:bidi w:val="0"/>
        <w:spacing w:line="400" w:lineRule="exact"/>
        <w:ind w:firstLine="413" w:firstLineChars="196"/>
        <w:textAlignment w:val="auto"/>
        <w:rPr>
          <w:b/>
          <w:color w:val="auto"/>
          <w:u w:val="single"/>
        </w:rPr>
      </w:pPr>
      <w:r>
        <w:rPr>
          <w:rFonts w:hint="eastAsia"/>
          <w:b/>
          <w:color w:val="auto"/>
          <w:u w:val="single"/>
        </w:rPr>
        <w:t>（20）承包人</w:t>
      </w:r>
      <w:r>
        <w:rPr>
          <w:rFonts w:hint="eastAsia"/>
          <w:b/>
          <w:color w:val="auto"/>
          <w:u w:val="single"/>
          <w:lang w:eastAsia="zh-CN"/>
        </w:rPr>
        <w:t>违反</w:t>
      </w:r>
      <w:r>
        <w:rPr>
          <w:rFonts w:hint="eastAsia"/>
          <w:b/>
          <w:color w:val="auto"/>
          <w:u w:val="single"/>
        </w:rPr>
        <w:t>上述条款的约定的违法金和损失款，发包人有权直接在工程款或履约保证金中直接扣除。</w:t>
      </w:r>
    </w:p>
    <w:p>
      <w:pPr>
        <w:pageBreakBefore w:val="0"/>
        <w:numPr>
          <w:ilvl w:val="0"/>
          <w:numId w:val="7"/>
        </w:numPr>
        <w:kinsoku/>
        <w:wordWrap/>
        <w:overflowPunct/>
        <w:topLinePunct w:val="0"/>
        <w:autoSpaceDE/>
        <w:autoSpaceDN/>
        <w:bidi w:val="0"/>
        <w:spacing w:line="400" w:lineRule="exact"/>
        <w:textAlignment w:val="auto"/>
        <w:rPr>
          <w:rFonts w:hint="eastAsia"/>
          <w:b/>
          <w:color w:val="auto"/>
        </w:rPr>
      </w:pPr>
      <w:r>
        <w:rPr>
          <w:rFonts w:hint="eastAsia"/>
          <w:b/>
          <w:color w:val="auto"/>
        </w:rPr>
        <w:t>索赔</w:t>
      </w:r>
    </w:p>
    <w:p>
      <w:pPr>
        <w:pageBreakBefore w:val="0"/>
        <w:kinsoku/>
        <w:wordWrap/>
        <w:overflowPunct/>
        <w:topLinePunct w:val="0"/>
        <w:autoSpaceDE/>
        <w:autoSpaceDN/>
        <w:bidi w:val="0"/>
        <w:spacing w:line="400" w:lineRule="exact"/>
        <w:textAlignment w:val="auto"/>
        <w:rPr>
          <w:rFonts w:hint="eastAsia"/>
          <w:color w:val="auto"/>
        </w:rPr>
      </w:pPr>
      <w:r>
        <w:rPr>
          <w:rFonts w:hint="eastAsia"/>
          <w:b/>
          <w:color w:val="auto"/>
        </w:rPr>
        <w:t>23.1  承包人索赔的提出</w:t>
      </w:r>
    </w:p>
    <w:p>
      <w:pPr>
        <w:pageBreakBefore w:val="0"/>
        <w:kinsoku/>
        <w:wordWrap/>
        <w:overflowPunct/>
        <w:topLinePunct w:val="0"/>
        <w:autoSpaceDE/>
        <w:autoSpaceDN/>
        <w:bidi w:val="0"/>
        <w:spacing w:line="400" w:lineRule="exact"/>
        <w:ind w:firstLine="420" w:firstLineChars="200"/>
        <w:textAlignment w:val="auto"/>
        <w:rPr>
          <w:rFonts w:hint="eastAsia"/>
          <w:color w:val="auto"/>
        </w:rPr>
      </w:pPr>
      <w:r>
        <w:rPr>
          <w:rFonts w:hint="eastAsia"/>
          <w:color w:val="auto"/>
        </w:rPr>
        <w:t>承包人在投标报价前须已对施工场地及周围环境进行了踏勘，已充分了解工地位置、地质情况、水文、气象、周边环境、交通条件、储存空间、装卸限制等施工场地和环境条件以及任何其他足以影响本合同价款的情况。任何因忽视、误解或自行判断施工场地情况而提出的索赔或工期延长申请将不获批准。</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24.  争议的解决</w:t>
      </w:r>
    </w:p>
    <w:p>
      <w:pPr>
        <w:pageBreakBefore w:val="0"/>
        <w:kinsoku/>
        <w:wordWrap/>
        <w:overflowPunct/>
        <w:topLinePunct w:val="0"/>
        <w:autoSpaceDE/>
        <w:autoSpaceDN/>
        <w:bidi w:val="0"/>
        <w:spacing w:line="400" w:lineRule="exact"/>
        <w:textAlignment w:val="auto"/>
        <w:rPr>
          <w:rFonts w:hint="eastAsia"/>
          <w:b/>
          <w:color w:val="auto"/>
        </w:rPr>
      </w:pPr>
      <w:r>
        <w:rPr>
          <w:rFonts w:hint="eastAsia"/>
          <w:b/>
          <w:color w:val="auto"/>
        </w:rPr>
        <w:t>24.1  争议的解决方式</w:t>
      </w:r>
    </w:p>
    <w:p>
      <w:pPr>
        <w:pageBreakBefore w:val="0"/>
        <w:kinsoku/>
        <w:wordWrap/>
        <w:overflowPunct/>
        <w:topLinePunct w:val="0"/>
        <w:autoSpaceDE/>
        <w:autoSpaceDN/>
        <w:bidi w:val="0"/>
        <w:spacing w:line="400" w:lineRule="exact"/>
        <w:textAlignment w:val="auto"/>
        <w:rPr>
          <w:rFonts w:hint="eastAsia" w:ascii="宋体" w:hAnsi="宋体" w:cs="MingLiUfalt"/>
          <w:snapToGrid w:val="0"/>
          <w:color w:val="auto"/>
          <w:kern w:val="0"/>
          <w:szCs w:val="21"/>
        </w:rPr>
      </w:pPr>
      <w:r>
        <w:rPr>
          <w:rFonts w:hint="eastAsia"/>
          <w:color w:val="auto"/>
        </w:rPr>
        <w:t xml:space="preserve">   争议的解决方式：</w:t>
      </w:r>
      <w:r>
        <w:rPr>
          <w:rFonts w:hint="eastAsia"/>
          <w:b/>
          <w:color w:val="auto"/>
        </w:rPr>
        <w:t>本合同履行地为工程项目所在地，发包人和承包人在履行合同中发生争议的，协商解决；合同当事人友好协商解决不成的，</w:t>
      </w:r>
      <w:r>
        <w:rPr>
          <w:rFonts w:hint="eastAsia"/>
          <w:b/>
          <w:color w:val="auto"/>
          <w:highlight w:val="none"/>
        </w:rPr>
        <w:t>向重庆市铜梁区人民法院提起诉讼</w:t>
      </w:r>
      <w:r>
        <w:rPr>
          <w:rFonts w:hint="eastAsia"/>
          <w:b/>
          <w:color w:val="auto"/>
        </w:rPr>
        <w:t>，但承包人不得因此而停工</w:t>
      </w:r>
      <w:r>
        <w:rPr>
          <w:rFonts w:hint="eastAsia"/>
          <w:color w:val="auto"/>
        </w:rPr>
        <w:t>。</w:t>
      </w:r>
    </w:p>
    <w:p>
      <w:pPr>
        <w:pageBreakBefore w:val="0"/>
        <w:kinsoku/>
        <w:wordWrap/>
        <w:overflowPunct/>
        <w:topLinePunct w:val="0"/>
        <w:autoSpaceDE/>
        <w:autoSpaceDN/>
        <w:bidi w:val="0"/>
        <w:spacing w:line="400" w:lineRule="exact"/>
        <w:ind w:firstLine="420" w:firstLineChars="200"/>
        <w:textAlignment w:val="auto"/>
        <w:rPr>
          <w:rFonts w:ascii="宋体" w:hAnsi="宋体" w:cs="MingLiUfalt"/>
          <w:snapToGrid w:val="0"/>
          <w:color w:val="auto"/>
          <w:kern w:val="0"/>
          <w:szCs w:val="21"/>
        </w:rPr>
      </w:pPr>
      <w:r>
        <w:rPr>
          <w:rFonts w:hint="eastAsia" w:ascii="宋体" w:hAnsi="宋体" w:cs="MingLiUfalt"/>
          <w:snapToGrid w:val="0"/>
          <w:color w:val="auto"/>
          <w:kern w:val="0"/>
          <w:szCs w:val="21"/>
        </w:rPr>
        <w:t>发包人：</w:t>
      </w:r>
      <w:r>
        <w:rPr>
          <w:rFonts w:hint="eastAsia" w:ascii="宋体" w:hAnsi="宋体"/>
          <w:color w:val="auto"/>
          <w:u w:val="single"/>
        </w:rPr>
        <w:t>　　　　　　　　　　</w:t>
      </w:r>
      <w:r>
        <w:rPr>
          <w:rFonts w:hint="eastAsia" w:ascii="宋体" w:hAnsi="宋体"/>
          <w:color w:val="auto"/>
          <w:u w:val="single"/>
          <w:lang w:eastAsia="zh-CN"/>
        </w:rPr>
        <w:t>（</w:t>
      </w:r>
      <w:r>
        <w:rPr>
          <w:rFonts w:hint="eastAsia" w:ascii="宋体" w:hAnsi="宋体" w:cs="MingLiUfalt"/>
          <w:snapToGrid w:val="0"/>
          <w:color w:val="auto"/>
          <w:kern w:val="0"/>
          <w:szCs w:val="21"/>
        </w:rPr>
        <w:t>盖单位公章</w:t>
      </w:r>
      <w:r>
        <w:rPr>
          <w:rFonts w:hint="eastAsia" w:ascii="宋体" w:hAnsi="宋体" w:cs="MingLiUfalt"/>
          <w:snapToGrid w:val="0"/>
          <w:color w:val="auto"/>
          <w:kern w:val="0"/>
          <w:szCs w:val="21"/>
          <w:lang w:eastAsia="zh-CN"/>
        </w:rPr>
        <w:t>）</w:t>
      </w:r>
      <w:r>
        <w:rPr>
          <w:rFonts w:hint="eastAsia" w:ascii="宋体" w:hAnsi="宋体" w:cs="MingLiUfalt"/>
          <w:snapToGrid w:val="0"/>
          <w:color w:val="auto"/>
          <w:kern w:val="0"/>
          <w:szCs w:val="21"/>
        </w:rPr>
        <w:t xml:space="preserve">    承包人：</w:t>
      </w:r>
      <w:r>
        <w:rPr>
          <w:rFonts w:hint="eastAsia" w:ascii="宋体" w:hAnsi="宋体"/>
          <w:color w:val="auto"/>
          <w:u w:val="single"/>
        </w:rPr>
        <w:t>　　　　　　　　　　</w:t>
      </w:r>
      <w:r>
        <w:rPr>
          <w:rFonts w:hint="eastAsia" w:ascii="宋体" w:hAnsi="宋体"/>
          <w:color w:val="auto"/>
          <w:u w:val="single"/>
          <w:lang w:eastAsia="zh-CN"/>
        </w:rPr>
        <w:t>（</w:t>
      </w:r>
      <w:r>
        <w:rPr>
          <w:rFonts w:hint="eastAsia" w:ascii="宋体" w:hAnsi="宋体" w:cs="MingLiUfalt"/>
          <w:snapToGrid w:val="0"/>
          <w:color w:val="auto"/>
          <w:kern w:val="0"/>
          <w:szCs w:val="21"/>
        </w:rPr>
        <w:t>盖单位公章</w:t>
      </w:r>
      <w:r>
        <w:rPr>
          <w:rFonts w:hint="eastAsia" w:ascii="宋体" w:hAnsi="宋体" w:cs="MingLiUfalt"/>
          <w:snapToGrid w:val="0"/>
          <w:color w:val="auto"/>
          <w:kern w:val="0"/>
          <w:szCs w:val="21"/>
          <w:lang w:eastAsia="zh-CN"/>
        </w:rPr>
        <w:t>）</w:t>
      </w:r>
      <w:r>
        <w:rPr>
          <w:rFonts w:ascii="宋体" w:hAnsi="宋体" w:cs="MingLiUfalt"/>
          <w:snapToGrid w:val="0"/>
          <w:color w:val="auto"/>
          <w:kern w:val="0"/>
          <w:szCs w:val="21"/>
        </w:rPr>
        <w:t xml:space="preserve">  </w:t>
      </w:r>
    </w:p>
    <w:p>
      <w:pPr>
        <w:pageBreakBefore w:val="0"/>
        <w:kinsoku/>
        <w:wordWrap/>
        <w:overflowPunct/>
        <w:topLinePunct w:val="0"/>
        <w:autoSpaceDE/>
        <w:autoSpaceDN/>
        <w:bidi w:val="0"/>
        <w:spacing w:line="400" w:lineRule="exact"/>
        <w:ind w:firstLine="420" w:firstLineChars="200"/>
        <w:textAlignment w:val="auto"/>
        <w:rPr>
          <w:rFonts w:ascii="宋体" w:hAnsi="宋体"/>
          <w:color w:val="auto"/>
        </w:rPr>
      </w:pPr>
      <w:r>
        <w:rPr>
          <w:rFonts w:hint="eastAsia" w:ascii="宋体" w:hAnsi="宋体"/>
          <w:color w:val="auto"/>
        </w:rPr>
        <w:t>法定地址：</w:t>
      </w:r>
      <w:r>
        <w:rPr>
          <w:rFonts w:hint="eastAsia" w:ascii="宋体" w:hAnsi="宋体"/>
          <w:color w:val="auto"/>
          <w:u w:val="single"/>
        </w:rPr>
        <w:t>　　　　　　　　　  　</w:t>
      </w:r>
      <w:r>
        <w:rPr>
          <w:rFonts w:hint="eastAsia" w:ascii="宋体" w:hAnsi="宋体"/>
          <w:color w:val="auto"/>
        </w:rPr>
        <w:t>　　　      法定地址：</w:t>
      </w:r>
      <w:r>
        <w:rPr>
          <w:rFonts w:hint="eastAsia" w:ascii="宋体" w:hAnsi="宋体"/>
          <w:color w:val="auto"/>
          <w:u w:val="single"/>
        </w:rPr>
        <w:t>　　　　　　　　  　　</w:t>
      </w:r>
    </w:p>
    <w:p>
      <w:pPr>
        <w:pageBreakBefore w:val="0"/>
        <w:kinsoku/>
        <w:wordWrap/>
        <w:overflowPunct/>
        <w:topLinePunct w:val="0"/>
        <w:autoSpaceDE/>
        <w:autoSpaceDN/>
        <w:bidi w:val="0"/>
        <w:spacing w:line="400" w:lineRule="exact"/>
        <w:ind w:firstLine="420" w:firstLineChars="200"/>
        <w:textAlignment w:val="auto"/>
        <w:rPr>
          <w:rFonts w:ascii="宋体" w:hAnsi="宋体" w:cs="MingLiUfalt"/>
          <w:snapToGrid w:val="0"/>
          <w:color w:val="auto"/>
          <w:kern w:val="0"/>
          <w:szCs w:val="21"/>
        </w:rPr>
      </w:pPr>
      <w:r>
        <w:rPr>
          <w:rFonts w:hint="eastAsia" w:ascii="宋体" w:hAnsi="宋体" w:cs="MingLiUfalt"/>
          <w:snapToGrid w:val="0"/>
          <w:color w:val="auto"/>
          <w:kern w:val="0"/>
          <w:szCs w:val="21"/>
        </w:rPr>
        <w:t>法定代表人：</w:t>
      </w:r>
      <w:r>
        <w:rPr>
          <w:rFonts w:hint="eastAsia" w:ascii="宋体" w:hAnsi="宋体"/>
          <w:color w:val="auto"/>
          <w:u w:val="single"/>
        </w:rPr>
        <w:t>　         　　</w:t>
      </w:r>
      <w:r>
        <w:rPr>
          <w:rFonts w:hint="eastAsia" w:ascii="宋体" w:hAnsi="宋体"/>
          <w:color w:val="auto"/>
        </w:rPr>
        <w:t>（签字）</w:t>
      </w:r>
      <w:r>
        <w:rPr>
          <w:rFonts w:hint="eastAsia" w:ascii="宋体" w:hAnsi="宋体" w:cs="MingLiUfalt"/>
          <w:snapToGrid w:val="0"/>
          <w:color w:val="auto"/>
          <w:kern w:val="0"/>
          <w:szCs w:val="21"/>
        </w:rPr>
        <w:t xml:space="preserve">         法定代表人：</w:t>
      </w:r>
      <w:r>
        <w:rPr>
          <w:rFonts w:hint="eastAsia" w:ascii="宋体" w:hAnsi="宋体"/>
          <w:color w:val="auto"/>
          <w:u w:val="single"/>
        </w:rPr>
        <w:t>　　       　 　</w:t>
      </w:r>
      <w:r>
        <w:rPr>
          <w:rFonts w:hint="eastAsia" w:ascii="宋体" w:hAnsi="宋体"/>
          <w:color w:val="auto"/>
        </w:rPr>
        <w:t>（签字）</w:t>
      </w:r>
    </w:p>
    <w:p>
      <w:pPr>
        <w:pageBreakBefore w:val="0"/>
        <w:kinsoku/>
        <w:wordWrap/>
        <w:overflowPunct/>
        <w:topLinePunct w:val="0"/>
        <w:autoSpaceDE/>
        <w:autoSpaceDN/>
        <w:bidi w:val="0"/>
        <w:spacing w:line="400" w:lineRule="exact"/>
        <w:ind w:firstLine="420" w:firstLineChars="200"/>
        <w:textAlignment w:val="auto"/>
        <w:rPr>
          <w:rFonts w:ascii="宋体" w:hAnsi="宋体"/>
          <w:color w:val="auto"/>
        </w:rPr>
      </w:pPr>
      <w:r>
        <w:rPr>
          <w:rFonts w:hint="eastAsia" w:ascii="宋体" w:hAnsi="宋体"/>
          <w:color w:val="auto"/>
        </w:rPr>
        <w:t>电    话：</w:t>
      </w:r>
      <w:r>
        <w:rPr>
          <w:rFonts w:hint="eastAsia" w:ascii="宋体" w:hAnsi="宋体"/>
          <w:color w:val="auto"/>
          <w:u w:val="single"/>
        </w:rPr>
        <w:t>　　　　　　  　　　　</w:t>
      </w:r>
      <w:r>
        <w:rPr>
          <w:rFonts w:hint="eastAsia" w:ascii="宋体" w:hAnsi="宋体"/>
          <w:color w:val="auto"/>
        </w:rPr>
        <w:t>　　　　    电    话：</w:t>
      </w:r>
      <w:r>
        <w:rPr>
          <w:rFonts w:hint="eastAsia" w:ascii="宋体" w:hAnsi="宋体"/>
          <w:color w:val="auto"/>
          <w:u w:val="single"/>
        </w:rPr>
        <w:t>　　　　　　　　  　　</w:t>
      </w:r>
      <w:r>
        <w:rPr>
          <w:rFonts w:hint="eastAsia" w:ascii="宋体" w:hAnsi="宋体"/>
          <w:color w:val="auto"/>
        </w:rPr>
        <w:t>　</w:t>
      </w:r>
    </w:p>
    <w:p>
      <w:pPr>
        <w:pageBreakBefore w:val="0"/>
        <w:kinsoku/>
        <w:wordWrap/>
        <w:overflowPunct/>
        <w:topLinePunct w:val="0"/>
        <w:autoSpaceDE/>
        <w:autoSpaceDN/>
        <w:bidi w:val="0"/>
        <w:spacing w:line="400" w:lineRule="exact"/>
        <w:ind w:firstLine="420" w:firstLineChars="200"/>
        <w:textAlignment w:val="auto"/>
        <w:rPr>
          <w:rFonts w:ascii="宋体" w:hAnsi="宋体"/>
          <w:color w:val="auto"/>
        </w:rPr>
      </w:pPr>
      <w:r>
        <w:rPr>
          <w:rFonts w:hint="eastAsia" w:ascii="宋体" w:hAnsi="宋体"/>
          <w:color w:val="auto"/>
        </w:rPr>
        <w:t>传    真：</w:t>
      </w:r>
      <w:r>
        <w:rPr>
          <w:rFonts w:hint="eastAsia" w:ascii="宋体" w:hAnsi="宋体"/>
          <w:color w:val="auto"/>
          <w:u w:val="single"/>
        </w:rPr>
        <w:t>　　　　　　　  　　　</w:t>
      </w:r>
      <w:r>
        <w:rPr>
          <w:rFonts w:hint="eastAsia" w:ascii="宋体" w:hAnsi="宋体"/>
          <w:color w:val="auto"/>
        </w:rPr>
        <w:t>　　　　　  传    真：</w:t>
      </w:r>
      <w:r>
        <w:rPr>
          <w:rFonts w:hint="eastAsia" w:ascii="宋体" w:hAnsi="宋体"/>
          <w:color w:val="auto"/>
          <w:u w:val="single"/>
        </w:rPr>
        <w:t>　　　　　　　    　　</w:t>
      </w:r>
      <w:r>
        <w:rPr>
          <w:rFonts w:hint="eastAsia" w:ascii="宋体" w:hAnsi="宋体"/>
          <w:color w:val="auto"/>
        </w:rPr>
        <w:t>　</w:t>
      </w:r>
    </w:p>
    <w:p>
      <w:pPr>
        <w:pageBreakBefore w:val="0"/>
        <w:kinsoku/>
        <w:wordWrap/>
        <w:overflowPunct/>
        <w:topLinePunct w:val="0"/>
        <w:autoSpaceDE/>
        <w:autoSpaceDN/>
        <w:bidi w:val="0"/>
        <w:spacing w:line="400" w:lineRule="exact"/>
        <w:ind w:firstLine="420" w:firstLineChars="200"/>
        <w:textAlignment w:val="auto"/>
        <w:rPr>
          <w:rFonts w:ascii="宋体" w:hAnsi="宋体"/>
          <w:color w:val="auto"/>
        </w:rPr>
      </w:pPr>
      <w:r>
        <w:rPr>
          <w:rFonts w:hint="eastAsia" w:ascii="宋体" w:hAnsi="宋体"/>
          <w:color w:val="auto"/>
        </w:rPr>
        <w:t>电子邮箱：</w:t>
      </w:r>
      <w:r>
        <w:rPr>
          <w:rFonts w:hint="eastAsia" w:ascii="宋体" w:hAnsi="宋体"/>
          <w:color w:val="auto"/>
          <w:u w:val="single"/>
        </w:rPr>
        <w:t>　　　　　　　  　　　</w:t>
      </w:r>
      <w:r>
        <w:rPr>
          <w:rFonts w:hint="eastAsia" w:ascii="宋体" w:hAnsi="宋体"/>
          <w:color w:val="auto"/>
        </w:rPr>
        <w:t>　　　　　  电子邮箱：</w:t>
      </w:r>
      <w:r>
        <w:rPr>
          <w:rFonts w:hint="eastAsia" w:ascii="宋体" w:hAnsi="宋体"/>
          <w:color w:val="auto"/>
          <w:u w:val="single"/>
        </w:rPr>
        <w:t>　　　　　　　  　　　</w:t>
      </w:r>
      <w:r>
        <w:rPr>
          <w:rFonts w:hint="eastAsia" w:ascii="宋体" w:hAnsi="宋体"/>
          <w:color w:val="auto"/>
        </w:rPr>
        <w:t>　</w:t>
      </w:r>
    </w:p>
    <w:p>
      <w:pPr>
        <w:pageBreakBefore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olor w:val="auto"/>
        </w:rPr>
        <w:t>邮政编码：</w:t>
      </w:r>
      <w:r>
        <w:rPr>
          <w:rFonts w:hint="eastAsia" w:ascii="宋体" w:hAnsi="宋体"/>
          <w:color w:val="auto"/>
          <w:u w:val="single"/>
        </w:rPr>
        <w:t>　　　　　　 　　 　　</w:t>
      </w:r>
      <w:r>
        <w:rPr>
          <w:rFonts w:hint="eastAsia" w:ascii="宋体" w:hAnsi="宋体"/>
          <w:color w:val="auto"/>
        </w:rPr>
        <w:t>　　　　　  邮政编码：</w:t>
      </w:r>
      <w:r>
        <w:rPr>
          <w:rFonts w:hint="eastAsia" w:ascii="宋体" w:hAnsi="宋体"/>
          <w:color w:val="auto"/>
          <w:u w:val="single"/>
        </w:rPr>
        <w:t>　　　　　　　  　　　</w:t>
      </w:r>
      <w:r>
        <w:rPr>
          <w:rFonts w:hint="eastAsia" w:ascii="宋体" w:hAnsi="宋体"/>
          <w:color w:val="auto"/>
        </w:rPr>
        <w:t>　</w:t>
      </w:r>
    </w:p>
    <w:p>
      <w:pPr>
        <w:pageBreakBefore w:val="0"/>
        <w:kinsoku/>
        <w:wordWrap/>
        <w:overflowPunct/>
        <w:topLinePunct w:val="0"/>
        <w:autoSpaceDE/>
        <w:autoSpaceDN/>
        <w:bidi w:val="0"/>
        <w:spacing w:line="400" w:lineRule="exact"/>
        <w:ind w:firstLine="1680" w:firstLineChars="800"/>
        <w:textAlignment w:val="auto"/>
        <w:rPr>
          <w:rFonts w:hint="eastAsia" w:ascii="宋体" w:hAnsi="宋体"/>
          <w:color w:val="auto"/>
        </w:rPr>
      </w:pPr>
      <w:r>
        <w:rPr>
          <w:rFonts w:hint="eastAsia" w:ascii="宋体" w:hAnsi="宋体" w:cs="宋体"/>
          <w:color w:val="auto"/>
          <w:szCs w:val="21"/>
        </w:rPr>
        <w:t>　年　　月　　日　　　　　　　　　            年　　月　　日</w:t>
      </w:r>
    </w:p>
    <w:p>
      <w:pPr>
        <w:pageBreakBefore w:val="0"/>
        <w:kinsoku/>
        <w:wordWrap/>
        <w:overflowPunct/>
        <w:topLinePunct w:val="0"/>
        <w:autoSpaceDE/>
        <w:autoSpaceDN/>
        <w:bidi w:val="0"/>
        <w:spacing w:line="400" w:lineRule="exact"/>
        <w:jc w:val="center"/>
        <w:textAlignment w:val="auto"/>
        <w:rPr>
          <w:rFonts w:hint="eastAsia"/>
          <w:b/>
          <w:color w:val="auto"/>
          <w:sz w:val="32"/>
          <w:szCs w:val="32"/>
        </w:rPr>
      </w:pPr>
    </w:p>
    <w:p>
      <w:pPr>
        <w:pageBreakBefore w:val="0"/>
        <w:kinsoku/>
        <w:wordWrap/>
        <w:overflowPunct/>
        <w:topLinePunct w:val="0"/>
        <w:autoSpaceDE/>
        <w:autoSpaceDN/>
        <w:bidi w:val="0"/>
        <w:spacing w:line="400" w:lineRule="exact"/>
        <w:jc w:val="center"/>
        <w:textAlignment w:val="auto"/>
        <w:rPr>
          <w:rFonts w:hint="eastAsia"/>
          <w:b/>
          <w:color w:val="auto"/>
          <w:sz w:val="32"/>
          <w:szCs w:val="32"/>
        </w:rPr>
      </w:pPr>
    </w:p>
    <w:p>
      <w:pPr>
        <w:pageBreakBefore w:val="0"/>
        <w:kinsoku/>
        <w:wordWrap/>
        <w:overflowPunct/>
        <w:topLinePunct w:val="0"/>
        <w:autoSpaceDE/>
        <w:autoSpaceDN/>
        <w:bidi w:val="0"/>
        <w:spacing w:line="400" w:lineRule="exact"/>
        <w:jc w:val="center"/>
        <w:textAlignment w:val="auto"/>
        <w:rPr>
          <w:rFonts w:hint="eastAsia"/>
          <w:b/>
          <w:color w:val="auto"/>
          <w:sz w:val="32"/>
          <w:szCs w:val="32"/>
        </w:rPr>
      </w:pPr>
    </w:p>
    <w:p>
      <w:pPr>
        <w:pageBreakBefore w:val="0"/>
        <w:kinsoku/>
        <w:wordWrap/>
        <w:overflowPunct/>
        <w:topLinePunct w:val="0"/>
        <w:autoSpaceDE/>
        <w:autoSpaceDN/>
        <w:bidi w:val="0"/>
        <w:spacing w:line="400" w:lineRule="exact"/>
        <w:jc w:val="center"/>
        <w:textAlignment w:val="auto"/>
        <w:rPr>
          <w:rFonts w:hint="eastAsia"/>
          <w:b/>
          <w:color w:val="auto"/>
          <w:sz w:val="32"/>
          <w:szCs w:val="32"/>
        </w:rPr>
      </w:pPr>
    </w:p>
    <w:p>
      <w:pPr>
        <w:pageBreakBefore w:val="0"/>
        <w:kinsoku/>
        <w:wordWrap/>
        <w:overflowPunct/>
        <w:topLinePunct w:val="0"/>
        <w:autoSpaceDE/>
        <w:autoSpaceDN/>
        <w:bidi w:val="0"/>
        <w:spacing w:line="400" w:lineRule="exact"/>
        <w:jc w:val="center"/>
        <w:textAlignment w:val="auto"/>
        <w:rPr>
          <w:rFonts w:hint="eastAsia"/>
          <w:b/>
          <w:color w:val="auto"/>
          <w:sz w:val="32"/>
          <w:szCs w:val="32"/>
        </w:rPr>
      </w:pPr>
    </w:p>
    <w:p>
      <w:pPr>
        <w:pageBreakBefore w:val="0"/>
        <w:kinsoku/>
        <w:wordWrap/>
        <w:overflowPunct/>
        <w:topLinePunct w:val="0"/>
        <w:autoSpaceDE/>
        <w:autoSpaceDN/>
        <w:bidi w:val="0"/>
        <w:spacing w:line="400" w:lineRule="exact"/>
        <w:jc w:val="center"/>
        <w:textAlignment w:val="auto"/>
        <w:rPr>
          <w:rFonts w:hint="eastAsia"/>
          <w:b/>
          <w:color w:val="auto"/>
          <w:sz w:val="32"/>
          <w:szCs w:val="32"/>
        </w:rPr>
      </w:pPr>
    </w:p>
    <w:p>
      <w:pPr>
        <w:spacing w:line="360" w:lineRule="auto"/>
        <w:jc w:val="both"/>
        <w:rPr>
          <w:rFonts w:hint="eastAsia"/>
          <w:color w:val="auto"/>
        </w:rPr>
      </w:pPr>
    </w:p>
    <w:p>
      <w:pPr>
        <w:rPr>
          <w:rFonts w:hint="eastAsia"/>
          <w:color w:val="auto"/>
        </w:rPr>
      </w:pPr>
      <w:r>
        <w:rPr>
          <w:rFonts w:hint="eastAsia"/>
          <w:color w:val="auto"/>
        </w:rPr>
        <w:br w:type="page"/>
      </w:r>
    </w:p>
    <w:p>
      <w:pPr>
        <w:spacing w:line="360" w:lineRule="auto"/>
        <w:jc w:val="both"/>
        <w:rPr>
          <w:rFonts w:hint="eastAsia"/>
          <w:color w:val="auto"/>
        </w:rPr>
      </w:pPr>
      <w:r>
        <w:rPr>
          <w:rFonts w:hint="eastAsia"/>
          <w:color w:val="auto"/>
        </w:rPr>
        <w:t>附件一：工程质量保修书</w:t>
      </w:r>
    </w:p>
    <w:p>
      <w:pPr>
        <w:keepNext w:val="0"/>
        <w:keepLines w:val="0"/>
        <w:pageBreakBefore w:val="0"/>
        <w:widowControl w:val="0"/>
        <w:kinsoku/>
        <w:wordWrap/>
        <w:overflowPunct/>
        <w:topLinePunct w:val="0"/>
        <w:autoSpaceDE/>
        <w:autoSpaceDN/>
        <w:bidi w:val="0"/>
        <w:spacing w:before="120" w:after="120" w:line="340" w:lineRule="exact"/>
        <w:jc w:val="center"/>
        <w:textAlignment w:val="auto"/>
        <w:outlineLvl w:val="9"/>
        <w:rPr>
          <w:rFonts w:ascii="宋体" w:hAnsi="宋体" w:cs="宋体"/>
          <w:b/>
          <w:color w:val="auto"/>
          <w:sz w:val="32"/>
          <w:szCs w:val="32"/>
        </w:rPr>
      </w:pPr>
      <w:r>
        <w:rPr>
          <w:rFonts w:hint="eastAsia" w:ascii="宋体" w:hAnsi="宋体" w:cs="宋体"/>
          <w:b/>
          <w:color w:val="auto"/>
          <w:sz w:val="32"/>
          <w:szCs w:val="32"/>
        </w:rPr>
        <w:t>工程质量保修书</w:t>
      </w:r>
    </w:p>
    <w:p>
      <w:pPr>
        <w:keepNext w:val="0"/>
        <w:keepLines w:val="0"/>
        <w:pageBreakBefore w:val="0"/>
        <w:widowControl w:val="0"/>
        <w:kinsoku/>
        <w:wordWrap/>
        <w:overflowPunct/>
        <w:topLinePunct w:val="0"/>
        <w:autoSpaceDE/>
        <w:autoSpaceDN/>
        <w:bidi w:val="0"/>
        <w:spacing w:line="340" w:lineRule="exact"/>
        <w:ind w:firstLine="420" w:firstLineChars="200"/>
        <w:textAlignment w:val="auto"/>
        <w:outlineLvl w:val="9"/>
        <w:rPr>
          <w:rFonts w:ascii="宋体" w:hAnsi="宋体" w:cs="宋体"/>
          <w:color w:val="auto"/>
          <w:u w:val="single"/>
        </w:rPr>
      </w:pPr>
      <w:r>
        <w:rPr>
          <w:rFonts w:hint="eastAsia" w:ascii="宋体" w:hAnsi="宋体" w:cs="宋体"/>
          <w:color w:val="auto"/>
        </w:rPr>
        <w:t>发包人（全称）：</w:t>
      </w:r>
      <w:r>
        <w:rPr>
          <w:rFonts w:hint="eastAsia" w:ascii="宋体" w:hAnsi="宋体" w:cs="宋体"/>
          <w:b/>
          <w:color w:val="auto"/>
          <w:u w:val="single"/>
        </w:rPr>
        <w:t xml:space="preserve">  </w:t>
      </w:r>
      <w:r>
        <w:rPr>
          <w:rFonts w:hint="eastAsia" w:ascii="宋体" w:hAnsi="宋体" w:cs="宋体"/>
          <w:color w:val="auto"/>
          <w:u w:val="single"/>
          <w:lang w:eastAsia="zh-CN"/>
        </w:rPr>
        <w:t>重庆安居古城华夏文化旅游发展有限公司</w:t>
      </w:r>
      <w:r>
        <w:rPr>
          <w:rFonts w:hint="eastAsia" w:ascii="宋体" w:hAnsi="宋体" w:cs="宋体"/>
          <w:color w:val="auto"/>
          <w:u w:val="single"/>
        </w:rPr>
        <w:t xml:space="preserve">    </w:t>
      </w:r>
    </w:p>
    <w:p>
      <w:pPr>
        <w:keepNext w:val="0"/>
        <w:keepLines w:val="0"/>
        <w:pageBreakBefore w:val="0"/>
        <w:widowControl w:val="0"/>
        <w:kinsoku/>
        <w:wordWrap/>
        <w:overflowPunct/>
        <w:topLinePunct w:val="0"/>
        <w:autoSpaceDE/>
        <w:autoSpaceDN/>
        <w:bidi w:val="0"/>
        <w:spacing w:line="340" w:lineRule="exact"/>
        <w:textAlignment w:val="auto"/>
        <w:outlineLvl w:val="9"/>
        <w:rPr>
          <w:rFonts w:hint="eastAsia" w:ascii="宋体" w:hAnsi="宋体" w:cs="宋体"/>
          <w:color w:val="auto"/>
        </w:rPr>
      </w:pPr>
      <w:r>
        <w:rPr>
          <w:rFonts w:hint="eastAsia" w:ascii="宋体" w:hAnsi="宋体" w:cs="宋体"/>
          <w:color w:val="auto"/>
        </w:rPr>
        <w:t>　　承包人（全称）：</w:t>
      </w:r>
      <w:r>
        <w:rPr>
          <w:rFonts w:hint="eastAsia"/>
          <w:b/>
          <w:color w:val="auto"/>
          <w:u w:val="single"/>
        </w:rPr>
        <w:t xml:space="preserve">                                 </w:t>
      </w:r>
      <w:r>
        <w:rPr>
          <w:rFonts w:ascii="宋体" w:hAnsi="宋体" w:cs="宋体"/>
          <w:color w:val="auto"/>
        </w:rPr>
        <w:t xml:space="preserve">                 </w:t>
      </w:r>
    </w:p>
    <w:p>
      <w:pPr>
        <w:keepNext w:val="0"/>
        <w:keepLines w:val="0"/>
        <w:pageBreakBefore w:val="0"/>
        <w:widowControl w:val="0"/>
        <w:kinsoku/>
        <w:wordWrap/>
        <w:overflowPunct/>
        <w:topLinePunct w:val="0"/>
        <w:autoSpaceDE/>
        <w:autoSpaceDN/>
        <w:bidi w:val="0"/>
        <w:spacing w:line="340" w:lineRule="exact"/>
        <w:textAlignment w:val="auto"/>
        <w:outlineLvl w:val="9"/>
        <w:rPr>
          <w:rFonts w:ascii="宋体" w:hAnsi="宋体" w:cs="宋体"/>
          <w:color w:val="auto"/>
        </w:rPr>
      </w:pPr>
      <w:r>
        <w:rPr>
          <w:rFonts w:hint="eastAsia" w:ascii="宋体" w:hAnsi="宋体" w:cs="宋体"/>
          <w:color w:val="auto"/>
        </w:rPr>
        <w:t>　　发包人和承包人根据《中华人民共和国建筑法》、《建设工程质量管理条例》和《房屋建筑工程质量保修办法》，经协商一致对</w:t>
      </w:r>
      <w:r>
        <w:rPr>
          <w:rFonts w:hint="eastAsia" w:ascii="宋体" w:hAnsi="宋体" w:cs="宋体"/>
          <w:color w:val="auto"/>
          <w:u w:val="single"/>
          <w:lang w:eastAsia="zh-CN"/>
        </w:rPr>
        <w:t>安居古城书香文化街（配套部分）项目</w:t>
      </w:r>
      <w:r>
        <w:rPr>
          <w:rFonts w:hint="eastAsia" w:ascii="宋体" w:hAnsi="宋体" w:cs="宋体"/>
          <w:color w:val="auto"/>
        </w:rPr>
        <w:t>签订工程质量保修书。</w:t>
      </w:r>
    </w:p>
    <w:p>
      <w:pPr>
        <w:keepNext w:val="0"/>
        <w:keepLines w:val="0"/>
        <w:pageBreakBefore w:val="0"/>
        <w:widowControl w:val="0"/>
        <w:kinsoku/>
        <w:wordWrap/>
        <w:overflowPunct/>
        <w:topLinePunct w:val="0"/>
        <w:autoSpaceDE/>
        <w:autoSpaceDN/>
        <w:bidi w:val="0"/>
        <w:spacing w:line="340" w:lineRule="exact"/>
        <w:textAlignment w:val="auto"/>
        <w:outlineLvl w:val="9"/>
        <w:rPr>
          <w:rFonts w:ascii="宋体" w:hAnsi="宋体" w:cs="宋体"/>
          <w:b/>
          <w:color w:val="auto"/>
        </w:rPr>
      </w:pPr>
      <w:r>
        <w:rPr>
          <w:rFonts w:hint="eastAsia" w:ascii="宋体" w:hAnsi="宋体" w:cs="宋体"/>
          <w:color w:val="auto"/>
        </w:rPr>
        <w:t>　　</w:t>
      </w:r>
      <w:r>
        <w:rPr>
          <w:rFonts w:hint="eastAsia" w:ascii="宋体" w:hAnsi="宋体" w:cs="宋体"/>
          <w:b/>
          <w:color w:val="auto"/>
        </w:rPr>
        <w:t>一、工程质量保修范围和内容</w:t>
      </w:r>
    </w:p>
    <w:p>
      <w:pPr>
        <w:keepNext w:val="0"/>
        <w:keepLines w:val="0"/>
        <w:pageBreakBefore w:val="0"/>
        <w:widowControl w:val="0"/>
        <w:kinsoku/>
        <w:wordWrap/>
        <w:overflowPunct/>
        <w:topLinePunct w:val="0"/>
        <w:autoSpaceDE/>
        <w:autoSpaceDN/>
        <w:bidi w:val="0"/>
        <w:adjustRightInd w:val="0"/>
        <w:snapToGrid w:val="0"/>
        <w:spacing w:line="340" w:lineRule="exact"/>
        <w:ind w:firstLine="405"/>
        <w:textAlignment w:val="auto"/>
        <w:outlineLvl w:val="9"/>
        <w:rPr>
          <w:rFonts w:hint="eastAsia" w:ascii="宋体" w:hAnsi="宋体" w:cs="宋体"/>
          <w:color w:val="auto"/>
        </w:rPr>
      </w:pPr>
      <w:r>
        <w:rPr>
          <w:rFonts w:hint="eastAsia" w:ascii="宋体" w:hAnsi="宋体" w:cs="宋体"/>
          <w:color w:val="auto"/>
        </w:rPr>
        <w:t>承包人在质量保修期内，按照有关法律规定和合同约定，承担工程质量保修责任。</w:t>
      </w:r>
    </w:p>
    <w:p>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outlineLvl w:val="9"/>
        <w:rPr>
          <w:rFonts w:hint="eastAsia" w:ascii="宋体" w:hAnsi="宋体" w:cs="宋体"/>
          <w:color w:val="auto"/>
          <w:kern w:val="0"/>
          <w:szCs w:val="21"/>
          <w:u w:val="single"/>
        </w:rPr>
      </w:pPr>
      <w:r>
        <w:rPr>
          <w:rFonts w:hint="eastAsia" w:ascii="宋体" w:hAnsi="宋体" w:cs="宋体"/>
          <w:color w:val="auto"/>
        </w:rPr>
        <w:t xml:space="preserve">具体保修的内容，双方约定如下： </w:t>
      </w:r>
      <w:r>
        <w:rPr>
          <w:rFonts w:hint="eastAsia" w:ascii="宋体" w:hAnsi="宋体" w:cs="宋体"/>
          <w:color w:val="auto"/>
          <w:u w:val="single"/>
        </w:rPr>
        <w:t>承包人所有施工的内</w:t>
      </w:r>
      <w:r>
        <w:rPr>
          <w:rFonts w:hint="eastAsia" w:ascii="宋体" w:hAnsi="宋体" w:cs="宋体"/>
          <w:color w:val="auto"/>
          <w:kern w:val="0"/>
          <w:szCs w:val="21"/>
          <w:u w:val="single"/>
        </w:rPr>
        <w:t>容均属于保修范围</w:t>
      </w:r>
      <w:r>
        <w:rPr>
          <w:rFonts w:hint="eastAsia" w:ascii="宋体" w:hAnsi="宋体" w:cs="宋体"/>
          <w:color w:val="auto"/>
          <w:u w:val="single"/>
        </w:rPr>
        <w:t>。</w:t>
      </w:r>
    </w:p>
    <w:p>
      <w:pPr>
        <w:keepNext w:val="0"/>
        <w:keepLines w:val="0"/>
        <w:pageBreakBefore w:val="0"/>
        <w:widowControl w:val="0"/>
        <w:kinsoku/>
        <w:wordWrap/>
        <w:overflowPunct/>
        <w:topLinePunct w:val="0"/>
        <w:autoSpaceDE/>
        <w:autoSpaceDN/>
        <w:bidi w:val="0"/>
        <w:spacing w:line="340" w:lineRule="exact"/>
        <w:ind w:firstLine="405"/>
        <w:textAlignment w:val="auto"/>
        <w:outlineLvl w:val="9"/>
        <w:rPr>
          <w:rFonts w:ascii="宋体" w:hAnsi="宋体" w:cs="宋体"/>
          <w:color w:val="auto"/>
        </w:rPr>
      </w:pPr>
      <w:r>
        <w:rPr>
          <w:rFonts w:hint="eastAsia" w:ascii="宋体" w:hAnsi="宋体" w:cs="宋体"/>
          <w:b/>
          <w:color w:val="auto"/>
        </w:rPr>
        <w:t>二、质量保修期</w:t>
      </w:r>
    </w:p>
    <w:p>
      <w:pPr>
        <w:keepNext w:val="0"/>
        <w:keepLines w:val="0"/>
        <w:pageBreakBefore w:val="0"/>
        <w:widowControl w:val="0"/>
        <w:kinsoku/>
        <w:wordWrap/>
        <w:overflowPunct/>
        <w:topLinePunct w:val="0"/>
        <w:autoSpaceDE/>
        <w:autoSpaceDN/>
        <w:bidi w:val="0"/>
        <w:spacing w:line="340" w:lineRule="exact"/>
        <w:ind w:firstLine="420" w:firstLineChars="200"/>
        <w:textAlignment w:val="auto"/>
        <w:outlineLvl w:val="9"/>
        <w:rPr>
          <w:rFonts w:ascii="宋体" w:hAnsi="宋体" w:cs="宋体"/>
          <w:color w:val="auto"/>
        </w:rPr>
      </w:pPr>
      <w:r>
        <w:rPr>
          <w:rFonts w:hint="eastAsia" w:ascii="宋体" w:hAnsi="宋体" w:cs="宋体"/>
          <w:color w:val="auto"/>
        </w:rPr>
        <w:t>根据《建设工程质量管理条例》及有关规定，工程的质量保修期如下：</w:t>
      </w:r>
    </w:p>
    <w:p>
      <w:pPr>
        <w:keepNext w:val="0"/>
        <w:keepLines w:val="0"/>
        <w:pageBreakBefore w:val="0"/>
        <w:widowControl w:val="0"/>
        <w:kinsoku/>
        <w:wordWrap/>
        <w:overflowPunct/>
        <w:topLinePunct w:val="0"/>
        <w:autoSpaceDE/>
        <w:autoSpaceDN/>
        <w:bidi w:val="0"/>
        <w:spacing w:line="340" w:lineRule="exact"/>
        <w:ind w:firstLine="420" w:firstLineChars="200"/>
        <w:textAlignment w:val="auto"/>
        <w:outlineLvl w:val="9"/>
        <w:rPr>
          <w:rFonts w:ascii="宋体" w:hAnsi="宋体" w:cs="宋体"/>
          <w:color w:val="auto"/>
        </w:rPr>
      </w:pPr>
      <w:r>
        <w:rPr>
          <w:rFonts w:ascii="宋体" w:hAnsi="宋体" w:cs="宋体"/>
          <w:color w:val="auto"/>
        </w:rPr>
        <w:t>1</w:t>
      </w:r>
      <w:r>
        <w:rPr>
          <w:rFonts w:hint="eastAsia" w:ascii="宋体" w:hAnsi="宋体" w:cs="宋体"/>
          <w:color w:val="auto"/>
        </w:rPr>
        <w:t>．地基基础工程和主体结构工程为设计文件规定的工程合理使用年限；</w:t>
      </w:r>
    </w:p>
    <w:p>
      <w:pPr>
        <w:keepNext w:val="0"/>
        <w:keepLines w:val="0"/>
        <w:pageBreakBefore w:val="0"/>
        <w:widowControl w:val="0"/>
        <w:kinsoku/>
        <w:wordWrap/>
        <w:overflowPunct/>
        <w:topLinePunct w:val="0"/>
        <w:autoSpaceDE/>
        <w:autoSpaceDN/>
        <w:bidi w:val="0"/>
        <w:spacing w:line="340" w:lineRule="exact"/>
        <w:ind w:firstLine="420" w:firstLineChars="200"/>
        <w:textAlignment w:val="auto"/>
        <w:outlineLvl w:val="9"/>
        <w:rPr>
          <w:rFonts w:hint="eastAsia" w:ascii="宋体" w:hAnsi="宋体" w:cs="宋体"/>
          <w:color w:val="auto"/>
        </w:rPr>
      </w:pPr>
      <w:r>
        <w:rPr>
          <w:rFonts w:ascii="宋体" w:hAnsi="宋体" w:cs="宋体"/>
          <w:color w:val="auto"/>
        </w:rPr>
        <w:t>2</w:t>
      </w:r>
      <w:r>
        <w:rPr>
          <w:rFonts w:hint="eastAsia" w:ascii="宋体" w:hAnsi="宋体" w:cs="宋体"/>
          <w:color w:val="auto"/>
        </w:rPr>
        <w:t>．屋面防水工程、有防水要求的卫生间、房间和外墙面的防渗为</w:t>
      </w:r>
      <w:r>
        <w:rPr>
          <w:rFonts w:ascii="宋体" w:hAnsi="宋体" w:cs="宋体"/>
          <w:color w:val="auto"/>
          <w:u w:val="single"/>
        </w:rPr>
        <w:t xml:space="preserve">  </w:t>
      </w:r>
      <w:r>
        <w:rPr>
          <w:rFonts w:hint="eastAsia" w:ascii="宋体" w:hAnsi="宋体" w:cs="宋体"/>
          <w:color w:val="auto"/>
          <w:u w:val="single"/>
          <w:lang w:val="en-US" w:eastAsia="zh-CN"/>
        </w:rPr>
        <w:t>5</w:t>
      </w:r>
      <w:r>
        <w:rPr>
          <w:rFonts w:ascii="宋体" w:hAnsi="宋体" w:cs="宋体"/>
          <w:color w:val="auto"/>
          <w:u w:val="single"/>
        </w:rPr>
        <w:t xml:space="preserve">  </w:t>
      </w:r>
      <w:r>
        <w:rPr>
          <w:rFonts w:hint="eastAsia" w:ascii="宋体" w:hAnsi="宋体" w:cs="宋体"/>
          <w:color w:val="auto"/>
        </w:rPr>
        <w:t>年；</w:t>
      </w:r>
    </w:p>
    <w:p>
      <w:pPr>
        <w:keepNext w:val="0"/>
        <w:keepLines w:val="0"/>
        <w:pageBreakBefore w:val="0"/>
        <w:widowControl w:val="0"/>
        <w:kinsoku/>
        <w:wordWrap/>
        <w:overflowPunct/>
        <w:topLinePunct w:val="0"/>
        <w:autoSpaceDE/>
        <w:autoSpaceDN/>
        <w:bidi w:val="0"/>
        <w:spacing w:line="340" w:lineRule="exact"/>
        <w:ind w:firstLine="420" w:firstLineChars="200"/>
        <w:textAlignment w:val="auto"/>
        <w:outlineLvl w:val="9"/>
        <w:rPr>
          <w:rFonts w:ascii="宋体" w:hAnsi="宋体" w:cs="宋体"/>
          <w:color w:val="auto"/>
        </w:rPr>
      </w:pPr>
      <w:r>
        <w:rPr>
          <w:rFonts w:ascii="宋体" w:hAnsi="宋体" w:cs="宋体"/>
          <w:color w:val="auto"/>
        </w:rPr>
        <w:t>3</w:t>
      </w:r>
      <w:r>
        <w:rPr>
          <w:rFonts w:hint="eastAsia" w:ascii="宋体" w:hAnsi="宋体" w:cs="宋体"/>
          <w:color w:val="auto"/>
        </w:rPr>
        <w:t>．装修工程为</w:t>
      </w:r>
      <w:r>
        <w:rPr>
          <w:rFonts w:ascii="宋体" w:hAnsi="宋体" w:cs="宋体"/>
          <w:color w:val="auto"/>
          <w:u w:val="single"/>
        </w:rPr>
        <w:t xml:space="preserve"> </w:t>
      </w:r>
      <w:r>
        <w:rPr>
          <w:rFonts w:hint="eastAsia" w:ascii="宋体" w:hAnsi="宋体" w:cs="宋体"/>
          <w:color w:val="auto"/>
          <w:u w:val="single"/>
          <w:lang w:val="en-US" w:eastAsia="zh-CN"/>
        </w:rPr>
        <w:t>2</w:t>
      </w:r>
      <w:r>
        <w:rPr>
          <w:rFonts w:ascii="宋体" w:hAnsi="宋体" w:cs="宋体"/>
          <w:color w:val="auto"/>
          <w:u w:val="single"/>
        </w:rPr>
        <w:t xml:space="preserve"> </w:t>
      </w:r>
      <w:r>
        <w:rPr>
          <w:rFonts w:hint="eastAsia" w:ascii="宋体" w:hAnsi="宋体" w:cs="宋体"/>
          <w:color w:val="auto"/>
        </w:rPr>
        <w:t>年；</w:t>
      </w:r>
      <w:r>
        <w:rPr>
          <w:rFonts w:ascii="宋体" w:hAnsi="宋体" w:cs="宋体"/>
          <w:color w:val="auto"/>
        </w:rPr>
        <w:t xml:space="preserve"> </w:t>
      </w:r>
    </w:p>
    <w:p>
      <w:pPr>
        <w:keepNext w:val="0"/>
        <w:keepLines w:val="0"/>
        <w:pageBreakBefore w:val="0"/>
        <w:widowControl w:val="0"/>
        <w:kinsoku/>
        <w:wordWrap/>
        <w:overflowPunct/>
        <w:topLinePunct w:val="0"/>
        <w:autoSpaceDE/>
        <w:autoSpaceDN/>
        <w:bidi w:val="0"/>
        <w:spacing w:line="340" w:lineRule="exact"/>
        <w:ind w:firstLine="420" w:firstLineChars="200"/>
        <w:textAlignment w:val="auto"/>
        <w:outlineLvl w:val="9"/>
        <w:rPr>
          <w:rFonts w:hint="eastAsia" w:ascii="宋体" w:hAnsi="宋体" w:cs="宋体"/>
          <w:color w:val="auto"/>
        </w:rPr>
      </w:pPr>
      <w:r>
        <w:rPr>
          <w:rFonts w:ascii="宋体" w:hAnsi="宋体" w:cs="宋体"/>
          <w:color w:val="auto"/>
        </w:rPr>
        <w:t>4</w:t>
      </w:r>
      <w:r>
        <w:rPr>
          <w:rFonts w:hint="eastAsia" w:ascii="宋体" w:hAnsi="宋体" w:cs="宋体"/>
          <w:color w:val="auto"/>
        </w:rPr>
        <w:t>．电气管线、给排水管道、设备安装工程为</w:t>
      </w:r>
      <w:r>
        <w:rPr>
          <w:rFonts w:ascii="宋体" w:hAnsi="宋体" w:cs="宋体"/>
          <w:color w:val="auto"/>
          <w:u w:val="single"/>
        </w:rPr>
        <w:t xml:space="preserve"> </w:t>
      </w:r>
      <w:r>
        <w:rPr>
          <w:rFonts w:hint="eastAsia" w:ascii="宋体" w:hAnsi="宋体" w:cs="宋体"/>
          <w:color w:val="auto"/>
          <w:u w:val="single"/>
          <w:lang w:val="en-US" w:eastAsia="zh-CN"/>
        </w:rPr>
        <w:t>2</w:t>
      </w:r>
      <w:r>
        <w:rPr>
          <w:rFonts w:hint="eastAsia" w:ascii="宋体" w:hAnsi="宋体" w:cs="宋体"/>
          <w:color w:val="auto"/>
          <w:u w:val="single"/>
        </w:rPr>
        <w:t xml:space="preserve"> </w:t>
      </w:r>
      <w:r>
        <w:rPr>
          <w:rFonts w:ascii="宋体" w:hAnsi="宋体" w:cs="宋体"/>
          <w:color w:val="auto"/>
          <w:u w:val="single"/>
        </w:rPr>
        <w:t xml:space="preserve"> </w:t>
      </w:r>
      <w:r>
        <w:rPr>
          <w:rFonts w:hint="eastAsia" w:ascii="宋体" w:hAnsi="宋体" w:cs="宋体"/>
          <w:color w:val="auto"/>
        </w:rPr>
        <w:t>年；</w:t>
      </w:r>
    </w:p>
    <w:p>
      <w:pPr>
        <w:keepNext w:val="0"/>
        <w:keepLines w:val="0"/>
        <w:pageBreakBefore w:val="0"/>
        <w:widowControl w:val="0"/>
        <w:kinsoku/>
        <w:wordWrap/>
        <w:overflowPunct/>
        <w:topLinePunct w:val="0"/>
        <w:autoSpaceDE/>
        <w:autoSpaceDN/>
        <w:bidi w:val="0"/>
        <w:spacing w:line="340" w:lineRule="exact"/>
        <w:ind w:firstLine="420" w:firstLineChars="200"/>
        <w:textAlignment w:val="auto"/>
        <w:outlineLvl w:val="9"/>
        <w:rPr>
          <w:rFonts w:hint="eastAsia" w:ascii="宋体" w:hAnsi="宋体" w:cs="宋体"/>
          <w:color w:val="auto"/>
        </w:rPr>
      </w:pPr>
      <w:r>
        <w:rPr>
          <w:rFonts w:ascii="宋体" w:hAnsi="宋体" w:cs="宋体"/>
          <w:color w:val="auto"/>
        </w:rPr>
        <w:t>5</w:t>
      </w:r>
      <w:r>
        <w:rPr>
          <w:rFonts w:hint="eastAsia" w:ascii="宋体" w:hAnsi="宋体" w:cs="宋体"/>
          <w:color w:val="auto"/>
        </w:rPr>
        <w:t>．供热与供冷系统为</w:t>
      </w:r>
      <w:r>
        <w:rPr>
          <w:rFonts w:ascii="宋体" w:hAnsi="宋体" w:cs="宋体"/>
          <w:color w:val="auto"/>
          <w:u w:val="single"/>
        </w:rPr>
        <w:t xml:space="preserve"> </w:t>
      </w:r>
      <w:r>
        <w:rPr>
          <w:rFonts w:hint="eastAsia" w:ascii="宋体" w:hAnsi="宋体" w:cs="宋体"/>
          <w:color w:val="auto"/>
          <w:u w:val="single"/>
        </w:rPr>
        <w:t xml:space="preserve"> </w:t>
      </w:r>
      <w:r>
        <w:rPr>
          <w:rFonts w:hint="eastAsia" w:ascii="宋体" w:hAnsi="宋体" w:cs="宋体"/>
          <w:color w:val="auto"/>
          <w:u w:val="single"/>
          <w:lang w:val="en-US" w:eastAsia="zh-CN"/>
        </w:rPr>
        <w:t>2</w:t>
      </w:r>
      <w:r>
        <w:rPr>
          <w:rFonts w:ascii="宋体" w:hAnsi="宋体" w:cs="宋体"/>
          <w:color w:val="auto"/>
          <w:u w:val="single"/>
        </w:rPr>
        <w:t xml:space="preserve"> </w:t>
      </w:r>
      <w:r>
        <w:rPr>
          <w:rFonts w:hint="eastAsia" w:ascii="宋体" w:hAnsi="宋体" w:cs="宋体"/>
          <w:color w:val="auto"/>
        </w:rPr>
        <w:t>个采暖期、供冷期；</w:t>
      </w:r>
    </w:p>
    <w:p>
      <w:pPr>
        <w:keepNext w:val="0"/>
        <w:keepLines w:val="0"/>
        <w:pageBreakBefore w:val="0"/>
        <w:widowControl w:val="0"/>
        <w:kinsoku/>
        <w:wordWrap/>
        <w:overflowPunct/>
        <w:topLinePunct w:val="0"/>
        <w:autoSpaceDE/>
        <w:autoSpaceDN/>
        <w:bidi w:val="0"/>
        <w:spacing w:line="340" w:lineRule="exact"/>
        <w:ind w:firstLine="420" w:firstLineChars="200"/>
        <w:textAlignment w:val="auto"/>
        <w:outlineLvl w:val="9"/>
        <w:rPr>
          <w:rFonts w:ascii="宋体" w:hAnsi="宋体" w:cs="宋体"/>
          <w:color w:val="auto"/>
        </w:rPr>
      </w:pPr>
      <w:r>
        <w:rPr>
          <w:rFonts w:ascii="宋体" w:hAnsi="宋体" w:cs="宋体"/>
          <w:color w:val="auto"/>
        </w:rPr>
        <w:t>6</w:t>
      </w:r>
      <w:r>
        <w:rPr>
          <w:rFonts w:hint="eastAsia" w:ascii="宋体" w:hAnsi="宋体" w:cs="宋体"/>
          <w:color w:val="auto"/>
        </w:rPr>
        <w:t>．住宅小区内的给排水设施、道路等配套工程为</w:t>
      </w:r>
      <w:r>
        <w:rPr>
          <w:rFonts w:ascii="宋体" w:hAnsi="宋体" w:cs="宋体"/>
          <w:color w:val="auto"/>
          <w:u w:val="single"/>
        </w:rPr>
        <w:t xml:space="preserve"> </w:t>
      </w:r>
      <w:r>
        <w:rPr>
          <w:rFonts w:hint="eastAsia" w:ascii="宋体" w:hAnsi="宋体" w:cs="宋体"/>
          <w:color w:val="auto"/>
          <w:u w:val="single"/>
          <w:lang w:val="en-US" w:eastAsia="zh-CN"/>
        </w:rPr>
        <w:t>2</w:t>
      </w:r>
      <w:r>
        <w:rPr>
          <w:rFonts w:ascii="宋体" w:hAnsi="宋体" w:cs="宋体"/>
          <w:color w:val="auto"/>
          <w:u w:val="single"/>
        </w:rPr>
        <w:t xml:space="preserve"> </w:t>
      </w:r>
      <w:r>
        <w:rPr>
          <w:rFonts w:hint="eastAsia" w:ascii="宋体" w:hAnsi="宋体" w:cs="宋体"/>
          <w:color w:val="auto"/>
        </w:rPr>
        <w:t>年；</w:t>
      </w:r>
      <w:r>
        <w:rPr>
          <w:rFonts w:ascii="宋体" w:hAnsi="宋体" w:cs="宋体"/>
          <w:color w:val="auto"/>
        </w:rPr>
        <w:t xml:space="preserve"> </w:t>
      </w:r>
    </w:p>
    <w:p>
      <w:pPr>
        <w:keepNext w:val="0"/>
        <w:keepLines w:val="0"/>
        <w:pageBreakBefore w:val="0"/>
        <w:widowControl w:val="0"/>
        <w:kinsoku/>
        <w:wordWrap/>
        <w:overflowPunct/>
        <w:topLinePunct w:val="0"/>
        <w:autoSpaceDE/>
        <w:autoSpaceDN/>
        <w:bidi w:val="0"/>
        <w:spacing w:line="340" w:lineRule="exact"/>
        <w:ind w:firstLine="420" w:firstLineChars="200"/>
        <w:textAlignment w:val="auto"/>
        <w:outlineLvl w:val="9"/>
        <w:rPr>
          <w:rFonts w:hint="eastAsia" w:ascii="宋体" w:hAnsi="宋体" w:cs="宋体"/>
          <w:color w:val="auto"/>
        </w:rPr>
      </w:pPr>
      <w:r>
        <w:rPr>
          <w:rFonts w:ascii="宋体" w:hAnsi="宋体" w:cs="宋体"/>
          <w:color w:val="auto"/>
        </w:rPr>
        <w:t>7</w:t>
      </w:r>
      <w:r>
        <w:rPr>
          <w:rFonts w:hint="eastAsia" w:ascii="宋体" w:hAnsi="宋体" w:cs="宋体"/>
          <w:color w:val="auto"/>
        </w:rPr>
        <w:t>．其他项目保修期限为</w:t>
      </w:r>
      <w:r>
        <w:rPr>
          <w:rFonts w:hint="eastAsia" w:ascii="宋体" w:hAnsi="宋体" w:cs="宋体"/>
          <w:color w:val="auto"/>
          <w:u w:val="single"/>
        </w:rPr>
        <w:t xml:space="preserve"> </w:t>
      </w:r>
      <w:r>
        <w:rPr>
          <w:rFonts w:hint="eastAsia" w:ascii="宋体" w:hAnsi="宋体" w:cs="宋体"/>
          <w:color w:val="auto"/>
          <w:u w:val="single"/>
          <w:lang w:val="en-US" w:eastAsia="zh-CN"/>
        </w:rPr>
        <w:t>2</w:t>
      </w:r>
      <w:r>
        <w:rPr>
          <w:rFonts w:ascii="宋体" w:hAnsi="宋体" w:cs="宋体"/>
          <w:color w:val="auto"/>
          <w:u w:val="single"/>
        </w:rPr>
        <w:t xml:space="preserve"> </w:t>
      </w:r>
      <w:r>
        <w:rPr>
          <w:rFonts w:hint="eastAsia" w:ascii="宋体" w:hAnsi="宋体" w:cs="宋体"/>
          <w:color w:val="auto"/>
        </w:rPr>
        <w:t xml:space="preserve">年； </w:t>
      </w:r>
    </w:p>
    <w:p>
      <w:pPr>
        <w:keepNext w:val="0"/>
        <w:keepLines w:val="0"/>
        <w:pageBreakBefore w:val="0"/>
        <w:widowControl w:val="0"/>
        <w:kinsoku/>
        <w:wordWrap/>
        <w:overflowPunct/>
        <w:topLinePunct w:val="0"/>
        <w:autoSpaceDE/>
        <w:autoSpaceDN/>
        <w:bidi w:val="0"/>
        <w:spacing w:line="340" w:lineRule="exact"/>
        <w:ind w:firstLine="405"/>
        <w:textAlignment w:val="auto"/>
        <w:outlineLvl w:val="9"/>
        <w:rPr>
          <w:rFonts w:hint="eastAsia" w:ascii="宋体" w:hAnsi="宋体" w:cs="宋体"/>
          <w:color w:val="auto"/>
        </w:rPr>
      </w:pPr>
      <w:r>
        <w:rPr>
          <w:rFonts w:hint="eastAsia" w:ascii="宋体" w:hAnsi="宋体" w:cs="宋体"/>
          <w:color w:val="auto"/>
        </w:rPr>
        <w:t>质量保修期自工程竣工验收合格之日起计算。</w:t>
      </w:r>
    </w:p>
    <w:p>
      <w:pPr>
        <w:keepNext w:val="0"/>
        <w:keepLines w:val="0"/>
        <w:pageBreakBefore w:val="0"/>
        <w:widowControl w:val="0"/>
        <w:kinsoku/>
        <w:wordWrap/>
        <w:overflowPunct/>
        <w:topLinePunct w:val="0"/>
        <w:autoSpaceDE/>
        <w:autoSpaceDN/>
        <w:bidi w:val="0"/>
        <w:spacing w:line="340" w:lineRule="exact"/>
        <w:ind w:firstLine="405"/>
        <w:textAlignment w:val="auto"/>
        <w:outlineLvl w:val="9"/>
        <w:rPr>
          <w:rFonts w:hint="eastAsia" w:ascii="宋体" w:hAnsi="宋体" w:cs="宋体"/>
          <w:color w:val="auto"/>
        </w:rPr>
      </w:pPr>
      <w:r>
        <w:rPr>
          <w:rFonts w:hint="eastAsia" w:ascii="宋体" w:hAnsi="宋体" w:cs="宋体"/>
          <w:b/>
          <w:color w:val="auto"/>
        </w:rPr>
        <w:t>三、质量保修责任</w:t>
      </w:r>
    </w:p>
    <w:p>
      <w:pPr>
        <w:keepNext w:val="0"/>
        <w:keepLines w:val="0"/>
        <w:pageBreakBefore w:val="0"/>
        <w:widowControl w:val="0"/>
        <w:kinsoku/>
        <w:wordWrap/>
        <w:overflowPunct/>
        <w:topLinePunct w:val="0"/>
        <w:autoSpaceDE/>
        <w:autoSpaceDN/>
        <w:bidi w:val="0"/>
        <w:spacing w:line="340" w:lineRule="exact"/>
        <w:ind w:firstLine="405"/>
        <w:textAlignment w:val="auto"/>
        <w:outlineLvl w:val="9"/>
        <w:rPr>
          <w:rFonts w:hint="eastAsia" w:ascii="宋体" w:hAnsi="宋体" w:cs="宋体"/>
          <w:color w:val="auto"/>
        </w:rPr>
      </w:pPr>
      <w:r>
        <w:rPr>
          <w:rFonts w:ascii="宋体" w:hAnsi="宋体" w:cs="宋体"/>
          <w:color w:val="auto"/>
        </w:rPr>
        <w:t>1</w:t>
      </w:r>
      <w:r>
        <w:rPr>
          <w:rFonts w:hint="eastAsia" w:ascii="宋体" w:hAnsi="宋体" w:cs="宋体"/>
          <w:color w:val="auto"/>
        </w:rPr>
        <w:t>．属于保修范围、内容的项目，承包人应当在接到保修通知之日起3天内派人保修。承包人不在约定期限内派人保修的，发包人可以委托他人修理。</w:t>
      </w:r>
    </w:p>
    <w:p>
      <w:pPr>
        <w:keepNext w:val="0"/>
        <w:keepLines w:val="0"/>
        <w:pageBreakBefore w:val="0"/>
        <w:widowControl w:val="0"/>
        <w:kinsoku/>
        <w:wordWrap/>
        <w:overflowPunct/>
        <w:topLinePunct w:val="0"/>
        <w:autoSpaceDE/>
        <w:autoSpaceDN/>
        <w:bidi w:val="0"/>
        <w:spacing w:line="340" w:lineRule="exact"/>
        <w:ind w:firstLine="405"/>
        <w:textAlignment w:val="auto"/>
        <w:outlineLvl w:val="9"/>
        <w:rPr>
          <w:rFonts w:hint="eastAsia" w:ascii="宋体" w:hAnsi="宋体" w:cs="宋体"/>
          <w:color w:val="auto"/>
        </w:rPr>
      </w:pPr>
      <w:r>
        <w:rPr>
          <w:rFonts w:ascii="宋体" w:hAnsi="宋体" w:cs="宋体"/>
          <w:color w:val="auto"/>
        </w:rPr>
        <w:t>2</w:t>
      </w:r>
      <w:r>
        <w:rPr>
          <w:rFonts w:hint="eastAsia" w:ascii="宋体" w:hAnsi="宋体" w:cs="宋体"/>
          <w:color w:val="auto"/>
        </w:rPr>
        <w:t>．发生紧急事故需抢修的，承包人在接到事故通知后，应当立即到达事故现场抢修。</w:t>
      </w:r>
    </w:p>
    <w:p>
      <w:pPr>
        <w:keepNext w:val="0"/>
        <w:keepLines w:val="0"/>
        <w:pageBreakBefore w:val="0"/>
        <w:widowControl w:val="0"/>
        <w:kinsoku/>
        <w:wordWrap/>
        <w:overflowPunct/>
        <w:topLinePunct w:val="0"/>
        <w:autoSpaceDE/>
        <w:autoSpaceDN/>
        <w:bidi w:val="0"/>
        <w:spacing w:line="340" w:lineRule="exact"/>
        <w:ind w:firstLine="405"/>
        <w:textAlignment w:val="auto"/>
        <w:outlineLvl w:val="9"/>
        <w:rPr>
          <w:rFonts w:hint="eastAsia" w:ascii="宋体" w:hAnsi="宋体" w:cs="宋体"/>
          <w:color w:val="auto"/>
        </w:rPr>
      </w:pPr>
      <w:r>
        <w:rPr>
          <w:rFonts w:ascii="宋体" w:hAnsi="宋体" w:cs="宋体"/>
          <w:color w:val="auto"/>
        </w:rPr>
        <w:t>3</w:t>
      </w:r>
      <w:r>
        <w:rPr>
          <w:rFonts w:hint="eastAsia" w:ascii="宋体" w:hAnsi="宋体" w:cs="宋体"/>
          <w:color w:val="auto"/>
        </w:rPr>
        <w:t>．对于涉及结构安全的质量问题，应当按照《建设工程质量管理条例》的规定，立即向当地建设行政主管部门和其他有关部门报告，采取安全防范措施，并由原设计人或者具有相应资质等级的设</w:t>
      </w:r>
      <w:r>
        <w:rPr>
          <w:rFonts w:hint="eastAsia" w:ascii="宋体" w:hAnsi="宋体" w:cs="宋体"/>
          <w:color w:val="auto"/>
          <w:lang w:eastAsia="zh-CN"/>
        </w:rPr>
        <w:t>计入</w:t>
      </w:r>
      <w:r>
        <w:rPr>
          <w:rFonts w:hint="eastAsia" w:ascii="宋体" w:hAnsi="宋体" w:cs="宋体"/>
          <w:color w:val="auto"/>
        </w:rPr>
        <w:t>提出保修方案，承包人实施保修。</w:t>
      </w:r>
    </w:p>
    <w:p>
      <w:pPr>
        <w:keepNext w:val="0"/>
        <w:keepLines w:val="0"/>
        <w:pageBreakBefore w:val="0"/>
        <w:widowControl w:val="0"/>
        <w:kinsoku/>
        <w:wordWrap/>
        <w:overflowPunct/>
        <w:topLinePunct w:val="0"/>
        <w:autoSpaceDE/>
        <w:autoSpaceDN/>
        <w:bidi w:val="0"/>
        <w:spacing w:line="340" w:lineRule="exact"/>
        <w:ind w:firstLine="405"/>
        <w:textAlignment w:val="auto"/>
        <w:outlineLvl w:val="9"/>
        <w:rPr>
          <w:rFonts w:ascii="宋体" w:hAnsi="宋体" w:cs="宋体"/>
          <w:color w:val="auto"/>
        </w:rPr>
      </w:pPr>
      <w:r>
        <w:rPr>
          <w:rFonts w:ascii="宋体" w:hAnsi="宋体" w:cs="宋体"/>
          <w:color w:val="auto"/>
        </w:rPr>
        <w:t>4</w:t>
      </w:r>
      <w:r>
        <w:rPr>
          <w:rFonts w:hint="eastAsia" w:ascii="宋体" w:hAnsi="宋体" w:cs="宋体"/>
          <w:color w:val="auto"/>
        </w:rPr>
        <w:t>．质量保修完成后，由发包人组织验收。</w:t>
      </w:r>
    </w:p>
    <w:p>
      <w:pPr>
        <w:keepNext w:val="0"/>
        <w:keepLines w:val="0"/>
        <w:pageBreakBefore w:val="0"/>
        <w:widowControl w:val="0"/>
        <w:kinsoku/>
        <w:wordWrap/>
        <w:overflowPunct/>
        <w:topLinePunct w:val="0"/>
        <w:autoSpaceDE/>
        <w:autoSpaceDN/>
        <w:bidi w:val="0"/>
        <w:spacing w:line="340" w:lineRule="exact"/>
        <w:textAlignment w:val="auto"/>
        <w:outlineLvl w:val="9"/>
        <w:rPr>
          <w:rFonts w:ascii="宋体" w:hAnsi="宋体" w:cs="宋体"/>
          <w:b/>
          <w:color w:val="auto"/>
        </w:rPr>
      </w:pPr>
      <w:r>
        <w:rPr>
          <w:rFonts w:hint="eastAsia" w:ascii="宋体" w:hAnsi="宋体" w:cs="宋体"/>
          <w:b/>
          <w:color w:val="auto"/>
        </w:rPr>
        <w:t>　　四、保修费用</w:t>
      </w:r>
    </w:p>
    <w:p>
      <w:pPr>
        <w:keepNext w:val="0"/>
        <w:keepLines w:val="0"/>
        <w:pageBreakBefore w:val="0"/>
        <w:widowControl w:val="0"/>
        <w:kinsoku/>
        <w:wordWrap/>
        <w:overflowPunct/>
        <w:topLinePunct w:val="0"/>
        <w:autoSpaceDE/>
        <w:autoSpaceDN/>
        <w:bidi w:val="0"/>
        <w:spacing w:line="340" w:lineRule="exact"/>
        <w:ind w:firstLine="420"/>
        <w:textAlignment w:val="auto"/>
        <w:outlineLvl w:val="9"/>
        <w:rPr>
          <w:rFonts w:hint="eastAsia" w:ascii="宋体" w:hAnsi="宋体" w:cs="宋体"/>
          <w:color w:val="auto"/>
        </w:rPr>
      </w:pPr>
      <w:r>
        <w:rPr>
          <w:rFonts w:hint="eastAsia" w:ascii="宋体" w:hAnsi="宋体" w:cs="宋体"/>
          <w:color w:val="auto"/>
        </w:rPr>
        <w:t>保修费用由造成质量缺陷的责任方承担。</w:t>
      </w:r>
    </w:p>
    <w:p>
      <w:pPr>
        <w:keepNext w:val="0"/>
        <w:keepLines w:val="0"/>
        <w:pageBreakBefore w:val="0"/>
        <w:widowControl w:val="0"/>
        <w:kinsoku/>
        <w:wordWrap/>
        <w:overflowPunct/>
        <w:topLinePunct w:val="0"/>
        <w:autoSpaceDE/>
        <w:autoSpaceDN/>
        <w:bidi w:val="0"/>
        <w:spacing w:line="340" w:lineRule="exact"/>
        <w:ind w:firstLine="420"/>
        <w:textAlignment w:val="auto"/>
        <w:outlineLvl w:val="9"/>
        <w:rPr>
          <w:rFonts w:hint="eastAsia" w:ascii="宋体" w:hAnsi="宋体" w:cs="宋体"/>
          <w:b/>
          <w:color w:val="auto"/>
        </w:rPr>
      </w:pPr>
      <w:r>
        <w:rPr>
          <w:rFonts w:hint="eastAsia" w:ascii="宋体" w:hAnsi="宋体" w:cs="宋体"/>
          <w:b/>
          <w:color w:val="auto"/>
        </w:rPr>
        <w:t>五、其他</w:t>
      </w:r>
    </w:p>
    <w:p>
      <w:pPr>
        <w:keepNext w:val="0"/>
        <w:keepLines w:val="0"/>
        <w:pageBreakBefore w:val="0"/>
        <w:widowControl w:val="0"/>
        <w:kinsoku/>
        <w:wordWrap/>
        <w:overflowPunct/>
        <w:topLinePunct w:val="0"/>
        <w:autoSpaceDE/>
        <w:autoSpaceDN/>
        <w:bidi w:val="0"/>
        <w:spacing w:line="340" w:lineRule="exact"/>
        <w:ind w:firstLine="420"/>
        <w:textAlignment w:val="auto"/>
        <w:outlineLvl w:val="9"/>
        <w:rPr>
          <w:rFonts w:hint="eastAsia" w:ascii="宋体" w:hAnsi="宋体" w:cs="宋体"/>
          <w:color w:val="auto"/>
        </w:rPr>
      </w:pPr>
      <w:r>
        <w:rPr>
          <w:rFonts w:hint="eastAsia" w:ascii="宋体" w:hAnsi="宋体" w:cs="宋体"/>
          <w:color w:val="auto"/>
        </w:rPr>
        <w:t>本工程质量保修书，由施工合同发包人、承包人双方在签订合同协议书时一并签订，作为施工合同附件，其有效保修期限至保修期满。</w:t>
      </w:r>
    </w:p>
    <w:p>
      <w:pPr>
        <w:keepNext w:val="0"/>
        <w:keepLines w:val="0"/>
        <w:pageBreakBefore w:val="0"/>
        <w:widowControl w:val="0"/>
        <w:kinsoku/>
        <w:wordWrap/>
        <w:overflowPunct/>
        <w:topLinePunct w:val="0"/>
        <w:autoSpaceDE/>
        <w:autoSpaceDN/>
        <w:bidi w:val="0"/>
        <w:spacing w:line="340" w:lineRule="exact"/>
        <w:ind w:firstLine="420" w:firstLineChars="200"/>
        <w:textAlignment w:val="auto"/>
        <w:outlineLvl w:val="9"/>
        <w:rPr>
          <w:rFonts w:hint="eastAsia" w:ascii="宋体" w:hAnsi="宋体" w:cs="MingLiUfalt"/>
          <w:snapToGrid w:val="0"/>
          <w:color w:val="auto"/>
          <w:kern w:val="0"/>
          <w:szCs w:val="21"/>
        </w:rPr>
      </w:pPr>
    </w:p>
    <w:p>
      <w:pPr>
        <w:keepNext w:val="0"/>
        <w:keepLines w:val="0"/>
        <w:pageBreakBefore w:val="0"/>
        <w:widowControl w:val="0"/>
        <w:kinsoku/>
        <w:wordWrap/>
        <w:overflowPunct/>
        <w:topLinePunct w:val="0"/>
        <w:autoSpaceDE/>
        <w:autoSpaceDN/>
        <w:bidi w:val="0"/>
        <w:spacing w:line="340" w:lineRule="exact"/>
        <w:ind w:firstLine="420" w:firstLineChars="200"/>
        <w:textAlignment w:val="auto"/>
        <w:outlineLvl w:val="9"/>
        <w:rPr>
          <w:rFonts w:ascii="宋体" w:hAnsi="宋体" w:cs="MingLiUfalt"/>
          <w:snapToGrid w:val="0"/>
          <w:color w:val="auto"/>
          <w:kern w:val="0"/>
          <w:szCs w:val="21"/>
        </w:rPr>
      </w:pPr>
      <w:r>
        <w:rPr>
          <w:rFonts w:hint="eastAsia" w:ascii="宋体" w:hAnsi="宋体" w:cs="MingLiUfalt"/>
          <w:snapToGrid w:val="0"/>
          <w:color w:val="auto"/>
          <w:kern w:val="0"/>
          <w:szCs w:val="21"/>
        </w:rPr>
        <w:t>发包人：</w:t>
      </w:r>
      <w:r>
        <w:rPr>
          <w:rFonts w:hint="eastAsia" w:ascii="宋体" w:hAnsi="宋体"/>
          <w:color w:val="auto"/>
          <w:u w:val="single"/>
        </w:rPr>
        <w:t>　　　　　　　　　　</w:t>
      </w:r>
      <w:r>
        <w:rPr>
          <w:rFonts w:hint="eastAsia" w:ascii="宋体" w:hAnsi="宋体"/>
          <w:color w:val="auto"/>
          <w:u w:val="single"/>
          <w:lang w:eastAsia="zh-CN"/>
        </w:rPr>
        <w:t>（</w:t>
      </w:r>
      <w:r>
        <w:rPr>
          <w:rFonts w:hint="eastAsia" w:ascii="宋体" w:hAnsi="宋体" w:cs="MingLiUfalt"/>
          <w:snapToGrid w:val="0"/>
          <w:color w:val="auto"/>
          <w:kern w:val="0"/>
          <w:szCs w:val="21"/>
        </w:rPr>
        <w:t>盖单位公章</w:t>
      </w:r>
      <w:r>
        <w:rPr>
          <w:rFonts w:hint="eastAsia" w:ascii="宋体" w:hAnsi="宋体" w:cs="MingLiUfalt"/>
          <w:snapToGrid w:val="0"/>
          <w:color w:val="auto"/>
          <w:kern w:val="0"/>
          <w:szCs w:val="21"/>
          <w:lang w:eastAsia="zh-CN"/>
        </w:rPr>
        <w:t>）</w:t>
      </w:r>
      <w:r>
        <w:rPr>
          <w:rFonts w:hint="eastAsia" w:ascii="宋体" w:hAnsi="宋体" w:cs="MingLiUfalt"/>
          <w:snapToGrid w:val="0"/>
          <w:color w:val="auto"/>
          <w:kern w:val="0"/>
          <w:szCs w:val="21"/>
        </w:rPr>
        <w:t xml:space="preserve">    承包人：</w:t>
      </w:r>
      <w:r>
        <w:rPr>
          <w:rFonts w:hint="eastAsia" w:ascii="宋体" w:hAnsi="宋体"/>
          <w:color w:val="auto"/>
          <w:u w:val="single"/>
        </w:rPr>
        <w:t>　　　　　　　　　　</w:t>
      </w:r>
      <w:r>
        <w:rPr>
          <w:rFonts w:hint="eastAsia" w:ascii="宋体" w:hAnsi="宋体"/>
          <w:color w:val="auto"/>
          <w:u w:val="single"/>
          <w:lang w:eastAsia="zh-CN"/>
        </w:rPr>
        <w:t>（</w:t>
      </w:r>
      <w:r>
        <w:rPr>
          <w:rFonts w:hint="eastAsia" w:ascii="宋体" w:hAnsi="宋体" w:cs="MingLiUfalt"/>
          <w:snapToGrid w:val="0"/>
          <w:color w:val="auto"/>
          <w:kern w:val="0"/>
          <w:szCs w:val="21"/>
        </w:rPr>
        <w:t>盖单位公章</w:t>
      </w:r>
      <w:r>
        <w:rPr>
          <w:rFonts w:hint="eastAsia" w:ascii="宋体" w:hAnsi="宋体" w:cs="MingLiUfalt"/>
          <w:snapToGrid w:val="0"/>
          <w:color w:val="auto"/>
          <w:kern w:val="0"/>
          <w:szCs w:val="21"/>
          <w:lang w:eastAsia="zh-CN"/>
        </w:rPr>
        <w:t>）</w:t>
      </w:r>
      <w:r>
        <w:rPr>
          <w:rFonts w:ascii="宋体" w:hAnsi="宋体" w:cs="MingLiUfalt"/>
          <w:snapToGrid w:val="0"/>
          <w:color w:val="auto"/>
          <w:kern w:val="0"/>
          <w:szCs w:val="21"/>
        </w:rPr>
        <w:t xml:space="preserve">  </w:t>
      </w:r>
    </w:p>
    <w:p>
      <w:pPr>
        <w:keepNext w:val="0"/>
        <w:keepLines w:val="0"/>
        <w:pageBreakBefore w:val="0"/>
        <w:widowControl w:val="0"/>
        <w:kinsoku/>
        <w:wordWrap/>
        <w:overflowPunct/>
        <w:topLinePunct w:val="0"/>
        <w:autoSpaceDE/>
        <w:autoSpaceDN/>
        <w:bidi w:val="0"/>
        <w:spacing w:line="340" w:lineRule="exact"/>
        <w:ind w:firstLine="420" w:firstLineChars="200"/>
        <w:textAlignment w:val="auto"/>
        <w:outlineLvl w:val="9"/>
        <w:rPr>
          <w:rFonts w:ascii="宋体" w:hAnsi="宋体"/>
          <w:color w:val="auto"/>
        </w:rPr>
      </w:pPr>
      <w:r>
        <w:rPr>
          <w:rFonts w:hint="eastAsia" w:ascii="宋体" w:hAnsi="宋体"/>
          <w:color w:val="auto"/>
        </w:rPr>
        <w:t>法定地址：</w:t>
      </w:r>
      <w:r>
        <w:rPr>
          <w:rFonts w:hint="eastAsia" w:ascii="宋体" w:hAnsi="宋体"/>
          <w:color w:val="auto"/>
          <w:u w:val="single"/>
        </w:rPr>
        <w:t>　　　　　　　　　  　</w:t>
      </w:r>
      <w:r>
        <w:rPr>
          <w:rFonts w:hint="eastAsia" w:ascii="宋体" w:hAnsi="宋体"/>
          <w:color w:val="auto"/>
        </w:rPr>
        <w:t>　　　      法定地址：</w:t>
      </w:r>
      <w:r>
        <w:rPr>
          <w:rFonts w:hint="eastAsia" w:ascii="宋体" w:hAnsi="宋体"/>
          <w:color w:val="auto"/>
          <w:u w:val="single"/>
        </w:rPr>
        <w:t>　　　　　　　　  　　</w:t>
      </w:r>
    </w:p>
    <w:p>
      <w:pPr>
        <w:keepNext w:val="0"/>
        <w:keepLines w:val="0"/>
        <w:pageBreakBefore w:val="0"/>
        <w:widowControl w:val="0"/>
        <w:kinsoku/>
        <w:wordWrap/>
        <w:overflowPunct/>
        <w:topLinePunct w:val="0"/>
        <w:autoSpaceDE/>
        <w:autoSpaceDN/>
        <w:bidi w:val="0"/>
        <w:spacing w:line="340" w:lineRule="exact"/>
        <w:ind w:firstLine="420" w:firstLineChars="200"/>
        <w:textAlignment w:val="auto"/>
        <w:outlineLvl w:val="9"/>
        <w:rPr>
          <w:rFonts w:ascii="宋体" w:hAnsi="宋体" w:cs="MingLiUfalt"/>
          <w:snapToGrid w:val="0"/>
          <w:color w:val="auto"/>
          <w:kern w:val="0"/>
          <w:szCs w:val="21"/>
        </w:rPr>
      </w:pPr>
      <w:r>
        <w:rPr>
          <w:rFonts w:hint="eastAsia" w:ascii="宋体" w:hAnsi="宋体" w:cs="MingLiUfalt"/>
          <w:snapToGrid w:val="0"/>
          <w:color w:val="auto"/>
          <w:kern w:val="0"/>
          <w:szCs w:val="21"/>
        </w:rPr>
        <w:t>法定代表人：</w:t>
      </w:r>
      <w:r>
        <w:rPr>
          <w:rFonts w:hint="eastAsia" w:ascii="宋体" w:hAnsi="宋体"/>
          <w:color w:val="auto"/>
          <w:u w:val="single"/>
        </w:rPr>
        <w:t>　         　　</w:t>
      </w:r>
      <w:r>
        <w:rPr>
          <w:rFonts w:hint="eastAsia" w:ascii="宋体" w:hAnsi="宋体"/>
          <w:color w:val="auto"/>
        </w:rPr>
        <w:t>（签字）</w:t>
      </w:r>
      <w:r>
        <w:rPr>
          <w:rFonts w:hint="eastAsia" w:ascii="宋体" w:hAnsi="宋体" w:cs="MingLiUfalt"/>
          <w:snapToGrid w:val="0"/>
          <w:color w:val="auto"/>
          <w:kern w:val="0"/>
          <w:szCs w:val="21"/>
        </w:rPr>
        <w:t xml:space="preserve">         法定代表人：</w:t>
      </w:r>
      <w:r>
        <w:rPr>
          <w:rFonts w:hint="eastAsia" w:ascii="宋体" w:hAnsi="宋体"/>
          <w:color w:val="auto"/>
          <w:u w:val="single"/>
        </w:rPr>
        <w:t>　　       　 　</w:t>
      </w:r>
      <w:r>
        <w:rPr>
          <w:rFonts w:hint="eastAsia" w:ascii="宋体" w:hAnsi="宋体"/>
          <w:color w:val="auto"/>
        </w:rPr>
        <w:t>（签字）</w:t>
      </w:r>
    </w:p>
    <w:p>
      <w:pPr>
        <w:keepNext w:val="0"/>
        <w:keepLines w:val="0"/>
        <w:pageBreakBefore w:val="0"/>
        <w:widowControl w:val="0"/>
        <w:kinsoku/>
        <w:wordWrap/>
        <w:overflowPunct/>
        <w:topLinePunct w:val="0"/>
        <w:autoSpaceDE/>
        <w:autoSpaceDN/>
        <w:bidi w:val="0"/>
        <w:spacing w:line="340" w:lineRule="exact"/>
        <w:ind w:firstLine="420" w:firstLineChars="200"/>
        <w:textAlignment w:val="auto"/>
        <w:outlineLvl w:val="9"/>
        <w:rPr>
          <w:rFonts w:ascii="宋体" w:hAnsi="宋体"/>
          <w:color w:val="auto"/>
        </w:rPr>
      </w:pPr>
      <w:r>
        <w:rPr>
          <w:rFonts w:hint="eastAsia" w:ascii="宋体" w:hAnsi="宋体"/>
          <w:color w:val="auto"/>
        </w:rPr>
        <w:t>电    话：</w:t>
      </w:r>
      <w:r>
        <w:rPr>
          <w:rFonts w:hint="eastAsia" w:ascii="宋体" w:hAnsi="宋体"/>
          <w:color w:val="auto"/>
          <w:u w:val="single"/>
        </w:rPr>
        <w:t>　　　　　　  　　　　</w:t>
      </w:r>
      <w:r>
        <w:rPr>
          <w:rFonts w:hint="eastAsia" w:ascii="宋体" w:hAnsi="宋体"/>
          <w:color w:val="auto"/>
        </w:rPr>
        <w:t>　　　　    电    话：</w:t>
      </w:r>
      <w:r>
        <w:rPr>
          <w:rFonts w:hint="eastAsia" w:ascii="宋体" w:hAnsi="宋体"/>
          <w:color w:val="auto"/>
          <w:u w:val="single"/>
        </w:rPr>
        <w:t>　　　　　　　　  　　</w:t>
      </w:r>
      <w:r>
        <w:rPr>
          <w:rFonts w:hint="eastAsia" w:ascii="宋体" w:hAnsi="宋体"/>
          <w:color w:val="auto"/>
        </w:rPr>
        <w:t>　</w:t>
      </w:r>
    </w:p>
    <w:p>
      <w:pPr>
        <w:keepNext w:val="0"/>
        <w:keepLines w:val="0"/>
        <w:pageBreakBefore w:val="0"/>
        <w:widowControl w:val="0"/>
        <w:kinsoku/>
        <w:wordWrap/>
        <w:overflowPunct/>
        <w:topLinePunct w:val="0"/>
        <w:autoSpaceDE/>
        <w:autoSpaceDN/>
        <w:bidi w:val="0"/>
        <w:spacing w:line="340" w:lineRule="exact"/>
        <w:ind w:firstLine="420" w:firstLineChars="200"/>
        <w:textAlignment w:val="auto"/>
        <w:outlineLvl w:val="9"/>
        <w:rPr>
          <w:rFonts w:ascii="宋体" w:hAnsi="宋体"/>
          <w:color w:val="auto"/>
        </w:rPr>
      </w:pPr>
      <w:r>
        <w:rPr>
          <w:rFonts w:hint="eastAsia" w:ascii="宋体" w:hAnsi="宋体"/>
          <w:color w:val="auto"/>
        </w:rPr>
        <w:t>传    真：</w:t>
      </w:r>
      <w:r>
        <w:rPr>
          <w:rFonts w:hint="eastAsia" w:ascii="宋体" w:hAnsi="宋体"/>
          <w:color w:val="auto"/>
          <w:u w:val="single"/>
        </w:rPr>
        <w:t>　　　　　　　  　　　</w:t>
      </w:r>
      <w:r>
        <w:rPr>
          <w:rFonts w:hint="eastAsia" w:ascii="宋体" w:hAnsi="宋体"/>
          <w:color w:val="auto"/>
        </w:rPr>
        <w:t>　　　　　  传    真：</w:t>
      </w:r>
      <w:r>
        <w:rPr>
          <w:rFonts w:hint="eastAsia" w:ascii="宋体" w:hAnsi="宋体"/>
          <w:color w:val="auto"/>
          <w:u w:val="single"/>
        </w:rPr>
        <w:t>　　　　　　　    　　</w:t>
      </w:r>
      <w:r>
        <w:rPr>
          <w:rFonts w:hint="eastAsia" w:ascii="宋体" w:hAnsi="宋体"/>
          <w:color w:val="auto"/>
        </w:rPr>
        <w:t>　</w:t>
      </w:r>
    </w:p>
    <w:p>
      <w:pPr>
        <w:keepNext w:val="0"/>
        <w:keepLines w:val="0"/>
        <w:pageBreakBefore w:val="0"/>
        <w:widowControl w:val="0"/>
        <w:kinsoku/>
        <w:wordWrap/>
        <w:overflowPunct/>
        <w:topLinePunct w:val="0"/>
        <w:autoSpaceDE/>
        <w:autoSpaceDN/>
        <w:bidi w:val="0"/>
        <w:spacing w:line="340" w:lineRule="exact"/>
        <w:ind w:firstLine="420" w:firstLineChars="200"/>
        <w:textAlignment w:val="auto"/>
        <w:outlineLvl w:val="9"/>
        <w:rPr>
          <w:rFonts w:ascii="宋体" w:hAnsi="宋体"/>
          <w:color w:val="auto"/>
        </w:rPr>
      </w:pPr>
      <w:r>
        <w:rPr>
          <w:rFonts w:hint="eastAsia" w:ascii="宋体" w:hAnsi="宋体"/>
          <w:color w:val="auto"/>
        </w:rPr>
        <w:t>电子邮箱：</w:t>
      </w:r>
      <w:r>
        <w:rPr>
          <w:rFonts w:hint="eastAsia" w:ascii="宋体" w:hAnsi="宋体"/>
          <w:color w:val="auto"/>
          <w:u w:val="single"/>
        </w:rPr>
        <w:t>　　　　　　　  　　　</w:t>
      </w:r>
      <w:r>
        <w:rPr>
          <w:rFonts w:hint="eastAsia" w:ascii="宋体" w:hAnsi="宋体"/>
          <w:color w:val="auto"/>
        </w:rPr>
        <w:t>　　　　　  电子邮箱：</w:t>
      </w:r>
      <w:r>
        <w:rPr>
          <w:rFonts w:hint="eastAsia" w:ascii="宋体" w:hAnsi="宋体"/>
          <w:color w:val="auto"/>
          <w:u w:val="single"/>
        </w:rPr>
        <w:t>　　　　　　　  　　　</w:t>
      </w:r>
      <w:r>
        <w:rPr>
          <w:rFonts w:hint="eastAsia" w:ascii="宋体" w:hAnsi="宋体"/>
          <w:color w:val="auto"/>
        </w:rPr>
        <w:t>　</w:t>
      </w:r>
    </w:p>
    <w:p>
      <w:pPr>
        <w:keepNext w:val="0"/>
        <w:keepLines w:val="0"/>
        <w:pageBreakBefore w:val="0"/>
        <w:widowControl w:val="0"/>
        <w:kinsoku/>
        <w:wordWrap/>
        <w:overflowPunct/>
        <w:topLinePunct w:val="0"/>
        <w:autoSpaceDE/>
        <w:autoSpaceDN/>
        <w:bidi w:val="0"/>
        <w:spacing w:line="340" w:lineRule="exact"/>
        <w:ind w:firstLine="420" w:firstLineChars="200"/>
        <w:textAlignment w:val="auto"/>
        <w:outlineLvl w:val="9"/>
        <w:rPr>
          <w:rFonts w:hint="eastAsia" w:ascii="宋体" w:hAnsi="宋体" w:cs="宋体"/>
          <w:color w:val="auto"/>
          <w:szCs w:val="21"/>
        </w:rPr>
      </w:pPr>
      <w:r>
        <w:rPr>
          <w:rFonts w:hint="eastAsia" w:ascii="宋体" w:hAnsi="宋体"/>
          <w:color w:val="auto"/>
        </w:rPr>
        <w:t>邮政编码：</w:t>
      </w:r>
      <w:r>
        <w:rPr>
          <w:rFonts w:hint="eastAsia" w:ascii="宋体" w:hAnsi="宋体"/>
          <w:color w:val="auto"/>
          <w:u w:val="single"/>
        </w:rPr>
        <w:t>　　　　　　 　　 　　</w:t>
      </w:r>
      <w:r>
        <w:rPr>
          <w:rFonts w:hint="eastAsia" w:ascii="宋体" w:hAnsi="宋体"/>
          <w:color w:val="auto"/>
        </w:rPr>
        <w:t>　　　　　  邮政编码：</w:t>
      </w:r>
      <w:r>
        <w:rPr>
          <w:rFonts w:hint="eastAsia" w:ascii="宋体" w:hAnsi="宋体"/>
          <w:color w:val="auto"/>
          <w:u w:val="single"/>
        </w:rPr>
        <w:t>　　　　　　　  　　　</w:t>
      </w:r>
      <w:r>
        <w:rPr>
          <w:rFonts w:hint="eastAsia" w:ascii="宋体" w:hAnsi="宋体"/>
          <w:color w:val="auto"/>
        </w:rPr>
        <w:t>　</w:t>
      </w:r>
    </w:p>
    <w:p>
      <w:pPr>
        <w:keepNext w:val="0"/>
        <w:keepLines w:val="0"/>
        <w:pageBreakBefore w:val="0"/>
        <w:widowControl w:val="0"/>
        <w:kinsoku/>
        <w:wordWrap/>
        <w:overflowPunct/>
        <w:topLinePunct w:val="0"/>
        <w:autoSpaceDE/>
        <w:autoSpaceDN/>
        <w:bidi w:val="0"/>
        <w:spacing w:line="340" w:lineRule="exact"/>
        <w:ind w:firstLine="1680" w:firstLineChars="800"/>
        <w:textAlignment w:val="auto"/>
        <w:outlineLvl w:val="9"/>
        <w:rPr>
          <w:rFonts w:hint="eastAsia" w:ascii="宋体" w:hAnsi="宋体" w:cs="宋体"/>
          <w:color w:val="auto"/>
          <w:szCs w:val="21"/>
        </w:rPr>
      </w:pPr>
      <w:r>
        <w:rPr>
          <w:rFonts w:hint="eastAsia" w:ascii="宋体" w:hAnsi="宋体" w:cs="宋体"/>
          <w:color w:val="auto"/>
          <w:szCs w:val="21"/>
        </w:rPr>
        <w:t>　年　　月　　日　　　　　　　　　            年　　月　　日</w:t>
      </w:r>
    </w:p>
    <w:p>
      <w:pPr>
        <w:keepNext w:val="0"/>
        <w:keepLines w:val="0"/>
        <w:pageBreakBefore w:val="0"/>
        <w:widowControl w:val="0"/>
        <w:kinsoku/>
        <w:wordWrap/>
        <w:overflowPunct/>
        <w:topLinePunct w:val="0"/>
        <w:autoSpaceDE/>
        <w:autoSpaceDN/>
        <w:bidi w:val="0"/>
        <w:spacing w:line="340" w:lineRule="exact"/>
        <w:textAlignment w:val="auto"/>
        <w:outlineLvl w:val="9"/>
        <w:rPr>
          <w:rFonts w:hint="eastAsia"/>
          <w:color w:val="auto"/>
        </w:rPr>
      </w:pPr>
      <w:r>
        <w:rPr>
          <w:rFonts w:hint="eastAsia"/>
          <w:color w:val="auto"/>
        </w:rPr>
        <w:t>附件二：建设工程廉政责任书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b/>
          <w:color w:val="auto"/>
          <w:sz w:val="30"/>
          <w:szCs w:val="30"/>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b/>
          <w:color w:val="auto"/>
          <w:sz w:val="30"/>
          <w:szCs w:val="30"/>
        </w:rPr>
      </w:pPr>
      <w:r>
        <w:rPr>
          <w:rFonts w:hint="eastAsia" w:ascii="宋体" w:hAnsi="宋体" w:cs="宋体"/>
          <w:b/>
          <w:color w:val="auto"/>
          <w:sz w:val="30"/>
          <w:szCs w:val="30"/>
        </w:rPr>
        <w:t>建设工程廉政责任书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b/>
          <w:color w:val="auto"/>
          <w:sz w:val="30"/>
          <w:szCs w:val="30"/>
        </w:rPr>
      </w:pPr>
    </w:p>
    <w:bookmarkEnd w:id="452"/>
    <w:bookmarkEnd w:id="453"/>
    <w:bookmarkEnd w:id="470"/>
    <w:bookmarkEnd w:id="471"/>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ascii="宋体" w:hAnsi="宋体" w:cs="宋体"/>
          <w:b/>
          <w:color w:val="auto"/>
          <w:u w:val="single"/>
        </w:rPr>
      </w:pPr>
      <w:bookmarkStart w:id="507" w:name="_Toc352707846"/>
      <w:bookmarkStart w:id="508" w:name="_Toc354832093"/>
      <w:bookmarkStart w:id="509" w:name="_Toc199124869"/>
      <w:r>
        <w:rPr>
          <w:rFonts w:hint="eastAsia" w:ascii="宋体" w:hAnsi="宋体" w:cs="宋体"/>
          <w:color w:val="auto"/>
        </w:rPr>
        <w:t>发包人（全称）：</w:t>
      </w:r>
      <w:r>
        <w:rPr>
          <w:rFonts w:hint="eastAsia" w:ascii="宋体" w:hAnsi="宋体" w:cs="宋体"/>
          <w:b/>
          <w:color w:val="auto"/>
          <w:u w:val="single"/>
        </w:rPr>
        <w:t xml:space="preserve">   </w:t>
      </w:r>
      <w:r>
        <w:rPr>
          <w:rFonts w:hint="eastAsia" w:ascii="宋体" w:hAnsi="宋体" w:cs="宋体"/>
          <w:color w:val="auto"/>
          <w:u w:val="single"/>
          <w:lang w:eastAsia="zh-CN"/>
        </w:rPr>
        <w:t>重庆安居古城华夏文化旅游发展有限公司</w:t>
      </w:r>
      <w:r>
        <w:rPr>
          <w:rFonts w:hint="eastAsia" w:ascii="宋体" w:hAnsi="宋体" w:cs="宋体"/>
          <w:color w:val="auto"/>
          <w:u w:val="single"/>
        </w:rPr>
        <w:t xml:space="preserve"> </w:t>
      </w:r>
      <w:r>
        <w:rPr>
          <w:rFonts w:hint="eastAsia" w:ascii="宋体" w:hAnsi="宋体" w:cs="宋体"/>
          <w:b/>
          <w:color w:val="auto"/>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color w:val="auto"/>
        </w:rPr>
      </w:pPr>
      <w:r>
        <w:rPr>
          <w:rFonts w:hint="eastAsia" w:ascii="宋体" w:hAnsi="宋体" w:cs="宋体"/>
          <w:color w:val="auto"/>
        </w:rPr>
        <w:t>　　承包人（全称）：</w:t>
      </w:r>
      <w:r>
        <w:rPr>
          <w:rFonts w:hint="eastAsia"/>
          <w:b/>
          <w:color w:val="auto"/>
          <w:u w:val="single"/>
        </w:rPr>
        <w:t xml:space="preserve">                                              </w:t>
      </w:r>
      <w:r>
        <w:rPr>
          <w:rFonts w:ascii="宋体" w:hAnsi="宋体" w:cs="宋体"/>
          <w:color w:val="auto"/>
        </w:rPr>
        <w:t xml:space="preserve">   </w:t>
      </w:r>
      <w:r>
        <w:rPr>
          <w:rFonts w:hint="eastAsia"/>
          <w:color w:val="auto"/>
        </w:rPr>
        <w:t>　　　　　　　　　　　　　　　　　　　　　　</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color w:val="auto"/>
        </w:rPr>
      </w:pPr>
      <w:r>
        <w:rPr>
          <w:rFonts w:hint="eastAsia"/>
          <w:color w:val="auto"/>
        </w:rPr>
        <w:t>　　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b/>
          <w:color w:val="auto"/>
        </w:rPr>
      </w:pPr>
      <w:r>
        <w:rPr>
          <w:rFonts w:hint="eastAsia"/>
          <w:b/>
          <w:color w:val="auto"/>
        </w:rPr>
        <w:t>一、双方的责任</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color w:val="auto"/>
        </w:rPr>
      </w:pPr>
      <w:r>
        <w:rPr>
          <w:rFonts w:hint="eastAsia"/>
          <w:color w:val="auto"/>
        </w:rPr>
        <w:t>　　1.1应严格遵守国家关于建设工程的有关法律、法规，相关政策，以及廉政建设的各项规定。</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color w:val="auto"/>
        </w:rPr>
      </w:pPr>
      <w:r>
        <w:rPr>
          <w:rFonts w:hint="eastAsia"/>
          <w:color w:val="auto"/>
        </w:rPr>
        <w:t>　　1.2严格执行建设工程合同文件，自觉按合同办事。</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color w:val="auto"/>
        </w:rPr>
      </w:pPr>
      <w:r>
        <w:rPr>
          <w:rFonts w:hint="eastAsia"/>
          <w:color w:val="auto"/>
        </w:rPr>
        <w:t>　　1.3各项活动必须坚持公开、公平、公正、诚信、透明的原则</w:t>
      </w:r>
      <w:r>
        <w:rPr>
          <w:rFonts w:hint="eastAsia"/>
          <w:color w:val="auto"/>
          <w:lang w:eastAsia="zh-CN"/>
        </w:rPr>
        <w:t>（</w:t>
      </w:r>
      <w:r>
        <w:rPr>
          <w:rFonts w:hint="eastAsia"/>
          <w:color w:val="auto"/>
        </w:rPr>
        <w:t>除法律法规另有规定者外</w:t>
      </w:r>
      <w:r>
        <w:rPr>
          <w:rFonts w:hint="eastAsia"/>
          <w:color w:val="auto"/>
          <w:lang w:eastAsia="zh-CN"/>
        </w:rPr>
        <w:t>）</w:t>
      </w:r>
      <w:r>
        <w:rPr>
          <w:rFonts w:hint="eastAsia"/>
          <w:color w:val="auto"/>
        </w:rPr>
        <w:t>，不得为获取不正当的利益，损害国家、集体和对方利益，不得违反建设工程管理的规章制度。</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color w:val="auto"/>
        </w:rPr>
      </w:pPr>
      <w:r>
        <w:rPr>
          <w:rFonts w:hint="eastAsia"/>
          <w:color w:val="auto"/>
        </w:rPr>
        <w:t>　　1.4发现对方在业务活动中有违规、违纪、违法行为的，应及时提醒对方，情节严重的，应向其上级主管部门或纪检监察、司法等有关机关举报。</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b/>
          <w:color w:val="auto"/>
        </w:rPr>
      </w:pPr>
      <w:r>
        <w:rPr>
          <w:rFonts w:hint="eastAsia"/>
          <w:b/>
          <w:color w:val="auto"/>
        </w:rPr>
        <w:t>二、发包人责任</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color w:val="auto"/>
        </w:rPr>
      </w:pPr>
      <w:r>
        <w:rPr>
          <w:rFonts w:hint="eastAsia"/>
          <w:color w:val="auto"/>
        </w:rPr>
        <w:t>　　发包人的领导和从事该建设工程项目的工作人员，在工程建设的事前、事中、事后应遵守以下规定：</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color w:val="auto"/>
        </w:rPr>
      </w:pPr>
      <w:r>
        <w:rPr>
          <w:rFonts w:hint="eastAsia"/>
          <w:color w:val="auto"/>
        </w:rPr>
        <w:t>　　2.1不得向承包人和相关单位索要或接受回扣、礼金、有价证券、贵重物品和好处费、感谢费等。</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color w:val="auto"/>
        </w:rPr>
      </w:pPr>
      <w:r>
        <w:rPr>
          <w:rFonts w:hint="eastAsia"/>
          <w:color w:val="auto"/>
        </w:rPr>
        <w:t>　　2.2不得在承包人和相关单位报销任何应由发包人或个人支付的费用。</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color w:val="auto"/>
        </w:rPr>
      </w:pPr>
      <w:r>
        <w:rPr>
          <w:rFonts w:hint="eastAsia"/>
          <w:color w:val="auto"/>
        </w:rPr>
        <w:t>　　2.3不得要求、暗示或接受承包人和相关单位为个人装修住房、婚丧嫁娶、配偶子女的工作安排以及出国</w:t>
      </w:r>
      <w:r>
        <w:rPr>
          <w:rFonts w:hint="eastAsia"/>
          <w:color w:val="auto"/>
          <w:lang w:eastAsia="zh-CN"/>
        </w:rPr>
        <w:t>（</w:t>
      </w:r>
      <w:r>
        <w:rPr>
          <w:rFonts w:hint="eastAsia"/>
          <w:color w:val="auto"/>
        </w:rPr>
        <w:t>境</w:t>
      </w:r>
      <w:r>
        <w:rPr>
          <w:rFonts w:hint="eastAsia"/>
          <w:color w:val="auto"/>
          <w:lang w:eastAsia="zh-CN"/>
        </w:rPr>
        <w:t>）</w:t>
      </w:r>
      <w:r>
        <w:rPr>
          <w:rFonts w:hint="eastAsia"/>
          <w:color w:val="auto"/>
        </w:rPr>
        <w:t>、旅游等提供方便。</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color w:val="auto"/>
        </w:rPr>
      </w:pPr>
      <w:r>
        <w:rPr>
          <w:rFonts w:hint="eastAsia"/>
          <w:color w:val="auto"/>
        </w:rPr>
        <w:t>　　2.4不得参加有可能影响公正执行公务的承包人和相关单位的宴请、健身、娱乐等活动。</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color w:val="auto"/>
        </w:rPr>
      </w:pPr>
      <w:r>
        <w:rPr>
          <w:rFonts w:hint="eastAsia"/>
          <w:color w:val="auto"/>
        </w:rPr>
        <w:t>　　2.5不得向承包人和相关单位介绍或为配偶、子女、亲属参与同发包人工程建设管理合同有关的业务活动；不得以任何理由要求承包人和相关单位使用某种产品、材料和设备。</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b/>
          <w:color w:val="auto"/>
        </w:rPr>
      </w:pPr>
      <w:r>
        <w:rPr>
          <w:rFonts w:hint="eastAsia"/>
          <w:b/>
          <w:color w:val="auto"/>
        </w:rPr>
        <w:t>三、承包人责任</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color w:val="auto"/>
        </w:rPr>
      </w:pPr>
      <w:r>
        <w:rPr>
          <w:rFonts w:hint="eastAsia"/>
          <w:color w:val="auto"/>
        </w:rPr>
        <w:t>　　应与发包人保持正常的业务交往，按照有关法律法规和程序开展业务工作，严格执行工程建设的有关方针、政策，执行工程建设强制性标准，并遵守以下规定：</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color w:val="auto"/>
        </w:rPr>
      </w:pPr>
      <w:r>
        <w:rPr>
          <w:rFonts w:hint="eastAsia"/>
          <w:color w:val="auto"/>
        </w:rPr>
        <w:t>　　3.1不得以任何理由向发包人及其工作人员索要、接受或赠送礼金、有价证券、贵重物品及回扣、好处费、感谢费等。</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color w:val="auto"/>
        </w:rPr>
      </w:pPr>
      <w:r>
        <w:rPr>
          <w:rFonts w:hint="eastAsia"/>
          <w:color w:val="auto"/>
        </w:rPr>
        <w:t>　　3.2不得以任何理由为发包人和相关单位报销应由对方或个人支付的费用。</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color w:val="auto"/>
        </w:rPr>
      </w:pPr>
      <w:r>
        <w:rPr>
          <w:rFonts w:hint="eastAsia"/>
          <w:color w:val="auto"/>
        </w:rPr>
        <w:t>　　3.3不得接受或暗示为发包人、相关单位或个人装修住房、婚丧嫁娶、配偶子女的工作安排以及出国</w:t>
      </w:r>
      <w:r>
        <w:rPr>
          <w:rFonts w:hint="eastAsia"/>
          <w:color w:val="auto"/>
          <w:lang w:eastAsia="zh-CN"/>
        </w:rPr>
        <w:t>（</w:t>
      </w:r>
      <w:r>
        <w:rPr>
          <w:rFonts w:hint="eastAsia"/>
          <w:color w:val="auto"/>
        </w:rPr>
        <w:t>境</w:t>
      </w:r>
      <w:r>
        <w:rPr>
          <w:rFonts w:hint="eastAsia"/>
          <w:color w:val="auto"/>
          <w:lang w:eastAsia="zh-CN"/>
        </w:rPr>
        <w:t>）</w:t>
      </w:r>
      <w:r>
        <w:rPr>
          <w:rFonts w:hint="eastAsia"/>
          <w:color w:val="auto"/>
        </w:rPr>
        <w:t>、旅游等提供方便。</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color w:val="auto"/>
        </w:rPr>
      </w:pPr>
      <w:r>
        <w:rPr>
          <w:rFonts w:hint="eastAsia"/>
          <w:color w:val="auto"/>
        </w:rPr>
        <w:t>　　3.4不得以任何理由为发包人、相关单位或个人组织有可能影响公正执行公务的宴请、健身、娱乐等活动。</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b/>
          <w:color w:val="auto"/>
        </w:rPr>
      </w:pPr>
      <w:r>
        <w:rPr>
          <w:rFonts w:hint="eastAsia"/>
          <w:b/>
          <w:color w:val="auto"/>
        </w:rPr>
        <w:t>四、违约责任</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color w:val="auto"/>
        </w:rPr>
      </w:pPr>
      <w:r>
        <w:rPr>
          <w:rFonts w:hint="eastAsia"/>
          <w:color w:val="auto"/>
        </w:rPr>
        <w:t>　　4.1发包人工作人员有违反本责任书第一、二条责任行为的，依据有关法律、法规给予处理；涉嫌犯罪的，移交司法机关追究刑事责任；给承包人单位造成经济损失的，应予以赔偿。</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color w:val="auto"/>
        </w:rPr>
      </w:pPr>
      <w:r>
        <w:rPr>
          <w:rFonts w:hint="eastAsia"/>
          <w:color w:val="auto"/>
        </w:rPr>
        <w:t>　　4.2承包人工作人员有违反本责任书第一、三条责任行为的，依据有关法律法规处理；涉嫌犯罪的，移交司法机关追究刑事责任；给发包人单位造成经济损失的，应予以赔偿。</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color w:val="auto"/>
        </w:rPr>
      </w:pPr>
      <w:r>
        <w:rPr>
          <w:rFonts w:hint="eastAsia"/>
          <w:color w:val="auto"/>
        </w:rPr>
        <w:t>　　4.3本责任书作为建设工程合同的组成部分，与建设工程合同具有同等法律效力。经双方签署后立即生效。</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b/>
          <w:color w:val="auto"/>
        </w:rPr>
      </w:pPr>
      <w:r>
        <w:rPr>
          <w:rFonts w:hint="eastAsia"/>
          <w:b/>
          <w:color w:val="auto"/>
        </w:rPr>
        <w:t>五、责任书有效期</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color w:val="auto"/>
        </w:rPr>
      </w:pPr>
      <w:r>
        <w:rPr>
          <w:rFonts w:hint="eastAsia"/>
          <w:color w:val="auto"/>
        </w:rPr>
        <w:t>　　本责任书的有效期为双方签署之日起至该工程项目竣工验收合格时止。</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b/>
          <w:color w:val="auto"/>
        </w:rPr>
      </w:pPr>
      <w:r>
        <w:rPr>
          <w:rFonts w:hint="eastAsia"/>
          <w:b/>
          <w:color w:val="auto"/>
        </w:rPr>
        <w:t>六、责任书份数</w:t>
      </w:r>
    </w:p>
    <w:p>
      <w:pPr>
        <w:keepNext w:val="0"/>
        <w:keepLines w:val="0"/>
        <w:pageBreakBefore w:val="0"/>
        <w:widowControl w:val="0"/>
        <w:kinsoku/>
        <w:wordWrap/>
        <w:overflowPunct/>
        <w:topLinePunct w:val="0"/>
        <w:autoSpaceDE/>
        <w:autoSpaceDN/>
        <w:bidi w:val="0"/>
        <w:adjustRightInd/>
        <w:snapToGrid/>
        <w:spacing w:line="360" w:lineRule="exact"/>
        <w:ind w:firstLine="405"/>
        <w:textAlignment w:val="auto"/>
        <w:outlineLvl w:val="9"/>
        <w:rPr>
          <w:rFonts w:hint="eastAsia"/>
          <w:color w:val="auto"/>
        </w:rPr>
      </w:pPr>
      <w:r>
        <w:rPr>
          <w:rFonts w:hint="eastAsia" w:ascii="宋体" w:hAnsi="宋体" w:cs="宋体"/>
          <w:color w:val="auto"/>
        </w:rPr>
        <w:t>本工程质量保修书，由施工合同发包人、承包人双方在签订合同协议书时一并签订，作为施工合同附件</w:t>
      </w:r>
      <w:r>
        <w:rPr>
          <w:rFonts w:hint="eastAsia"/>
          <w:color w:val="auto"/>
        </w:rPr>
        <w:t>，具有同等效力。</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宋体" w:hAnsi="宋体" w:cs="MingLiUfalt"/>
          <w:snapToGrid w:val="0"/>
          <w:color w:val="auto"/>
          <w:kern w:val="0"/>
          <w:szCs w:val="21"/>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ascii="宋体" w:hAnsi="宋体" w:cs="MingLiUfalt"/>
          <w:snapToGrid w:val="0"/>
          <w:color w:val="auto"/>
          <w:kern w:val="0"/>
          <w:szCs w:val="21"/>
        </w:rPr>
      </w:pPr>
      <w:r>
        <w:rPr>
          <w:rFonts w:hint="eastAsia" w:ascii="宋体" w:hAnsi="宋体" w:cs="MingLiUfalt"/>
          <w:snapToGrid w:val="0"/>
          <w:color w:val="auto"/>
          <w:kern w:val="0"/>
          <w:szCs w:val="21"/>
        </w:rPr>
        <w:t>发包人：</w:t>
      </w:r>
      <w:r>
        <w:rPr>
          <w:rFonts w:hint="eastAsia" w:ascii="宋体" w:hAnsi="宋体"/>
          <w:color w:val="auto"/>
          <w:u w:val="single"/>
        </w:rPr>
        <w:t>　　　　　　　　　　</w:t>
      </w:r>
      <w:r>
        <w:rPr>
          <w:rFonts w:hint="eastAsia" w:ascii="宋体" w:hAnsi="宋体"/>
          <w:color w:val="auto"/>
          <w:u w:val="single"/>
          <w:lang w:eastAsia="zh-CN"/>
        </w:rPr>
        <w:t>（</w:t>
      </w:r>
      <w:r>
        <w:rPr>
          <w:rFonts w:hint="eastAsia" w:ascii="宋体" w:hAnsi="宋体" w:cs="MingLiUfalt"/>
          <w:snapToGrid w:val="0"/>
          <w:color w:val="auto"/>
          <w:kern w:val="0"/>
          <w:szCs w:val="21"/>
        </w:rPr>
        <w:t>盖单位公章</w:t>
      </w:r>
      <w:r>
        <w:rPr>
          <w:rFonts w:hint="eastAsia" w:ascii="宋体" w:hAnsi="宋体" w:cs="MingLiUfalt"/>
          <w:snapToGrid w:val="0"/>
          <w:color w:val="auto"/>
          <w:kern w:val="0"/>
          <w:szCs w:val="21"/>
          <w:lang w:eastAsia="zh-CN"/>
        </w:rPr>
        <w:t>）</w:t>
      </w:r>
      <w:r>
        <w:rPr>
          <w:rFonts w:hint="eastAsia" w:ascii="宋体" w:hAnsi="宋体" w:cs="MingLiUfalt"/>
          <w:snapToGrid w:val="0"/>
          <w:color w:val="auto"/>
          <w:kern w:val="0"/>
          <w:szCs w:val="21"/>
        </w:rPr>
        <w:t xml:space="preserve">    承包人：</w:t>
      </w:r>
      <w:r>
        <w:rPr>
          <w:rFonts w:hint="eastAsia" w:ascii="宋体" w:hAnsi="宋体"/>
          <w:color w:val="auto"/>
          <w:u w:val="single"/>
        </w:rPr>
        <w:t>　　　　　　　　　　</w:t>
      </w:r>
      <w:r>
        <w:rPr>
          <w:rFonts w:hint="eastAsia" w:ascii="宋体" w:hAnsi="宋体"/>
          <w:color w:val="auto"/>
          <w:u w:val="single"/>
          <w:lang w:eastAsia="zh-CN"/>
        </w:rPr>
        <w:t>（</w:t>
      </w:r>
      <w:r>
        <w:rPr>
          <w:rFonts w:hint="eastAsia" w:ascii="宋体" w:hAnsi="宋体" w:cs="MingLiUfalt"/>
          <w:snapToGrid w:val="0"/>
          <w:color w:val="auto"/>
          <w:kern w:val="0"/>
          <w:szCs w:val="21"/>
        </w:rPr>
        <w:t>盖单位公章</w:t>
      </w:r>
      <w:r>
        <w:rPr>
          <w:rFonts w:hint="eastAsia" w:ascii="宋体" w:hAnsi="宋体" w:cs="MingLiUfalt"/>
          <w:snapToGrid w:val="0"/>
          <w:color w:val="auto"/>
          <w:kern w:val="0"/>
          <w:szCs w:val="21"/>
          <w:lang w:eastAsia="zh-CN"/>
        </w:rPr>
        <w:t>）</w:t>
      </w:r>
      <w:r>
        <w:rPr>
          <w:rFonts w:ascii="宋体" w:hAnsi="宋体" w:cs="MingLiUfalt"/>
          <w:snapToGrid w:val="0"/>
          <w:color w:val="auto"/>
          <w:kern w:val="0"/>
          <w:szCs w:val="21"/>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ascii="宋体" w:hAnsi="宋体"/>
          <w:color w:val="auto"/>
        </w:rPr>
      </w:pPr>
      <w:r>
        <w:rPr>
          <w:rFonts w:hint="eastAsia" w:ascii="宋体" w:hAnsi="宋体"/>
          <w:color w:val="auto"/>
        </w:rPr>
        <w:t>法定地址：</w:t>
      </w:r>
      <w:r>
        <w:rPr>
          <w:rFonts w:hint="eastAsia" w:ascii="宋体" w:hAnsi="宋体"/>
          <w:color w:val="auto"/>
          <w:u w:val="single"/>
        </w:rPr>
        <w:t>　　　　　　　　　  　</w:t>
      </w:r>
      <w:r>
        <w:rPr>
          <w:rFonts w:hint="eastAsia" w:ascii="宋体" w:hAnsi="宋体"/>
          <w:color w:val="auto"/>
        </w:rPr>
        <w:t>　　　      法定地址：</w:t>
      </w:r>
      <w:r>
        <w:rPr>
          <w:rFonts w:hint="eastAsia" w:ascii="宋体" w:hAnsi="宋体"/>
          <w:color w:val="auto"/>
          <w:u w:val="single"/>
        </w:rPr>
        <w:t>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ascii="宋体" w:hAnsi="宋体" w:cs="MingLiUfalt"/>
          <w:snapToGrid w:val="0"/>
          <w:color w:val="auto"/>
          <w:kern w:val="0"/>
          <w:szCs w:val="21"/>
        </w:rPr>
      </w:pPr>
      <w:r>
        <w:rPr>
          <w:rFonts w:hint="eastAsia" w:ascii="宋体" w:hAnsi="宋体" w:cs="MingLiUfalt"/>
          <w:snapToGrid w:val="0"/>
          <w:color w:val="auto"/>
          <w:kern w:val="0"/>
          <w:szCs w:val="21"/>
        </w:rPr>
        <w:t>法定代表人：</w:t>
      </w:r>
      <w:r>
        <w:rPr>
          <w:rFonts w:hint="eastAsia" w:ascii="宋体" w:hAnsi="宋体"/>
          <w:color w:val="auto"/>
          <w:u w:val="single"/>
        </w:rPr>
        <w:t>　         　　</w:t>
      </w:r>
      <w:r>
        <w:rPr>
          <w:rFonts w:hint="eastAsia" w:ascii="宋体" w:hAnsi="宋体"/>
          <w:color w:val="auto"/>
        </w:rPr>
        <w:t>（签字）</w:t>
      </w:r>
      <w:r>
        <w:rPr>
          <w:rFonts w:hint="eastAsia" w:ascii="宋体" w:hAnsi="宋体" w:cs="MingLiUfalt"/>
          <w:snapToGrid w:val="0"/>
          <w:color w:val="auto"/>
          <w:kern w:val="0"/>
          <w:szCs w:val="21"/>
        </w:rPr>
        <w:t xml:space="preserve">         法定代表人：</w:t>
      </w:r>
      <w:r>
        <w:rPr>
          <w:rFonts w:hint="eastAsia" w:ascii="宋体" w:hAnsi="宋体"/>
          <w:color w:val="auto"/>
          <w:u w:val="single"/>
        </w:rPr>
        <w:t>　　       　 　</w:t>
      </w:r>
      <w:r>
        <w:rPr>
          <w:rFonts w:hint="eastAsia" w:ascii="宋体" w:hAnsi="宋体"/>
          <w:color w:val="auto"/>
        </w:rPr>
        <w:t>（签字）</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ascii="宋体" w:hAnsi="宋体"/>
          <w:color w:val="auto"/>
        </w:rPr>
      </w:pPr>
      <w:r>
        <w:rPr>
          <w:rFonts w:hint="eastAsia" w:ascii="宋体" w:hAnsi="宋体"/>
          <w:color w:val="auto"/>
        </w:rPr>
        <w:t>电    话：</w:t>
      </w:r>
      <w:r>
        <w:rPr>
          <w:rFonts w:hint="eastAsia" w:ascii="宋体" w:hAnsi="宋体"/>
          <w:color w:val="auto"/>
          <w:u w:val="single"/>
        </w:rPr>
        <w:t>　　　　　　  　　　　</w:t>
      </w:r>
      <w:r>
        <w:rPr>
          <w:rFonts w:hint="eastAsia" w:ascii="宋体" w:hAnsi="宋体"/>
          <w:color w:val="auto"/>
        </w:rPr>
        <w:t>　　　　    电    话：</w:t>
      </w:r>
      <w:r>
        <w:rPr>
          <w:rFonts w:hint="eastAsia" w:ascii="宋体" w:hAnsi="宋体"/>
          <w:color w:val="auto"/>
          <w:u w:val="single"/>
        </w:rPr>
        <w:t>　　　　　　　　  　　</w:t>
      </w:r>
      <w:r>
        <w:rPr>
          <w:rFonts w:hint="eastAsia" w:ascii="宋体" w:hAnsi="宋体"/>
          <w:color w:val="auto"/>
        </w:rPr>
        <w:t>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ascii="宋体" w:hAnsi="宋体"/>
          <w:color w:val="auto"/>
        </w:rPr>
      </w:pPr>
      <w:r>
        <w:rPr>
          <w:rFonts w:hint="eastAsia" w:ascii="宋体" w:hAnsi="宋体"/>
          <w:color w:val="auto"/>
        </w:rPr>
        <w:t>传    真：</w:t>
      </w:r>
      <w:r>
        <w:rPr>
          <w:rFonts w:hint="eastAsia" w:ascii="宋体" w:hAnsi="宋体"/>
          <w:color w:val="auto"/>
          <w:u w:val="single"/>
        </w:rPr>
        <w:t>　　　　　　　  　　　</w:t>
      </w:r>
      <w:r>
        <w:rPr>
          <w:rFonts w:hint="eastAsia" w:ascii="宋体" w:hAnsi="宋体"/>
          <w:color w:val="auto"/>
        </w:rPr>
        <w:t>　　　　　  传    真：</w:t>
      </w:r>
      <w:r>
        <w:rPr>
          <w:rFonts w:hint="eastAsia" w:ascii="宋体" w:hAnsi="宋体"/>
          <w:color w:val="auto"/>
          <w:u w:val="single"/>
        </w:rPr>
        <w:t>　　　　　　　    　　</w:t>
      </w:r>
      <w:r>
        <w:rPr>
          <w:rFonts w:hint="eastAsia" w:ascii="宋体" w:hAnsi="宋体"/>
          <w:color w:val="auto"/>
        </w:rPr>
        <w:t>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ascii="宋体" w:hAnsi="宋体"/>
          <w:color w:val="auto"/>
        </w:rPr>
      </w:pPr>
      <w:r>
        <w:rPr>
          <w:rFonts w:hint="eastAsia" w:ascii="宋体" w:hAnsi="宋体"/>
          <w:color w:val="auto"/>
        </w:rPr>
        <w:t>电子邮箱：</w:t>
      </w:r>
      <w:r>
        <w:rPr>
          <w:rFonts w:hint="eastAsia" w:ascii="宋体" w:hAnsi="宋体"/>
          <w:color w:val="auto"/>
          <w:u w:val="single"/>
        </w:rPr>
        <w:t>　　　　　　　  　　　</w:t>
      </w:r>
      <w:r>
        <w:rPr>
          <w:rFonts w:hint="eastAsia" w:ascii="宋体" w:hAnsi="宋体"/>
          <w:color w:val="auto"/>
        </w:rPr>
        <w:t>　　　　　  电子邮箱：</w:t>
      </w:r>
      <w:r>
        <w:rPr>
          <w:rFonts w:hint="eastAsia" w:ascii="宋体" w:hAnsi="宋体"/>
          <w:color w:val="auto"/>
          <w:u w:val="single"/>
        </w:rPr>
        <w:t>　　　　　　　  　　　</w:t>
      </w:r>
      <w:r>
        <w:rPr>
          <w:rFonts w:hint="eastAsia" w:ascii="宋体" w:hAnsi="宋体"/>
          <w:color w:val="auto"/>
        </w:rPr>
        <w:t>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ascii="宋体" w:hAnsi="宋体"/>
          <w:color w:val="auto"/>
        </w:rPr>
      </w:pPr>
      <w:r>
        <w:rPr>
          <w:rFonts w:hint="eastAsia" w:ascii="宋体" w:hAnsi="宋体"/>
          <w:color w:val="auto"/>
        </w:rPr>
        <w:t>邮政编码：</w:t>
      </w:r>
      <w:r>
        <w:rPr>
          <w:rFonts w:hint="eastAsia" w:ascii="宋体" w:hAnsi="宋体"/>
          <w:color w:val="auto"/>
          <w:u w:val="single"/>
        </w:rPr>
        <w:t>　　　　　　 　　 　　</w:t>
      </w:r>
      <w:r>
        <w:rPr>
          <w:rFonts w:hint="eastAsia" w:ascii="宋体" w:hAnsi="宋体"/>
          <w:color w:val="auto"/>
        </w:rPr>
        <w:t>　　　　　  邮政编码：</w:t>
      </w:r>
      <w:r>
        <w:rPr>
          <w:rFonts w:hint="eastAsia" w:ascii="宋体" w:hAnsi="宋体"/>
          <w:color w:val="auto"/>
          <w:u w:val="single"/>
        </w:rPr>
        <w:t>　　　　　　　  　　　</w:t>
      </w:r>
      <w:r>
        <w:rPr>
          <w:rFonts w:hint="eastAsia" w:ascii="宋体" w:hAnsi="宋体"/>
          <w:color w:val="auto"/>
        </w:rPr>
        <w:t>　</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cs="宋体"/>
          <w:color w:val="auto"/>
          <w:szCs w:val="21"/>
        </w:rPr>
      </w:pPr>
      <w:r>
        <w:rPr>
          <w:rFonts w:hint="eastAsia" w:ascii="宋体" w:hAnsi="宋体" w:cs="宋体"/>
          <w:color w:val="auto"/>
          <w:szCs w:val="21"/>
        </w:rPr>
        <w:t>　　　　　　</w:t>
      </w:r>
    </w:p>
    <w:p>
      <w:pPr>
        <w:keepNext w:val="0"/>
        <w:keepLines w:val="0"/>
        <w:pageBreakBefore w:val="0"/>
        <w:widowControl w:val="0"/>
        <w:kinsoku/>
        <w:wordWrap/>
        <w:overflowPunct/>
        <w:topLinePunct w:val="0"/>
        <w:autoSpaceDE/>
        <w:autoSpaceDN/>
        <w:bidi w:val="0"/>
        <w:adjustRightInd/>
        <w:snapToGrid/>
        <w:spacing w:line="360" w:lineRule="exact"/>
        <w:ind w:firstLine="1680" w:firstLineChars="800"/>
        <w:textAlignment w:val="auto"/>
        <w:outlineLvl w:val="9"/>
        <w:rPr>
          <w:rFonts w:hint="eastAsia" w:ascii="宋体" w:hAnsi="宋体"/>
          <w:color w:val="auto"/>
        </w:rPr>
      </w:pPr>
      <w:r>
        <w:rPr>
          <w:rFonts w:hint="eastAsia" w:ascii="宋体" w:hAnsi="宋体" w:cs="宋体"/>
          <w:color w:val="auto"/>
          <w:szCs w:val="21"/>
        </w:rPr>
        <w:t>　年　　月　　日　　　　　　　　　            年　　月　　日</w:t>
      </w:r>
    </w:p>
    <w:p>
      <w:pPr>
        <w:keepNext w:val="0"/>
        <w:keepLines w:val="0"/>
        <w:pageBreakBefore w:val="0"/>
        <w:widowControl w:val="0"/>
        <w:kinsoku/>
        <w:wordWrap/>
        <w:overflowPunct/>
        <w:topLinePunct w:val="0"/>
        <w:autoSpaceDE/>
        <w:autoSpaceDN/>
        <w:bidi w:val="0"/>
        <w:adjustRightInd/>
        <w:snapToGrid/>
        <w:spacing w:line="360" w:lineRule="exact"/>
        <w:ind w:firstLine="1260" w:firstLineChars="600"/>
        <w:textAlignment w:val="auto"/>
        <w:outlineLvl w:val="9"/>
        <w:rPr>
          <w:rFonts w:hint="eastAsia" w:ascii="宋体" w:hAnsi="宋体" w:cs="宋体"/>
          <w:color w:val="auto"/>
        </w:rPr>
      </w:pPr>
    </w:p>
    <w:p>
      <w:pPr>
        <w:spacing w:line="460" w:lineRule="exact"/>
        <w:ind w:firstLine="1260" w:firstLineChars="600"/>
        <w:rPr>
          <w:rFonts w:hint="eastAsia" w:ascii="宋体" w:hAnsi="宋体" w:cs="宋体"/>
          <w:color w:val="auto"/>
        </w:rPr>
      </w:pPr>
    </w:p>
    <w:p>
      <w:pPr>
        <w:pStyle w:val="5"/>
        <w:adjustRightInd w:val="0"/>
        <w:snapToGrid w:val="0"/>
        <w:spacing w:before="0" w:after="0" w:line="360" w:lineRule="auto"/>
        <w:jc w:val="center"/>
        <w:rPr>
          <w:rFonts w:hint="eastAsia"/>
          <w:color w:val="auto"/>
        </w:rPr>
      </w:pPr>
      <w:bookmarkStart w:id="510" w:name="_Toc513492491"/>
      <w:bookmarkStart w:id="511" w:name="_Toc452058739"/>
    </w:p>
    <w:p>
      <w:pPr>
        <w:pStyle w:val="5"/>
        <w:adjustRightInd w:val="0"/>
        <w:snapToGrid w:val="0"/>
        <w:spacing w:before="0" w:after="0" w:line="360" w:lineRule="auto"/>
        <w:jc w:val="center"/>
        <w:rPr>
          <w:rFonts w:hint="eastAsia"/>
          <w:color w:val="auto"/>
        </w:rPr>
      </w:pPr>
    </w:p>
    <w:p>
      <w:pPr>
        <w:pStyle w:val="5"/>
        <w:adjustRightInd w:val="0"/>
        <w:snapToGrid w:val="0"/>
        <w:spacing w:before="0" w:after="0" w:line="360" w:lineRule="auto"/>
        <w:jc w:val="center"/>
        <w:rPr>
          <w:rFonts w:hint="eastAsia"/>
          <w:color w:val="auto"/>
        </w:rPr>
      </w:pPr>
    </w:p>
    <w:p>
      <w:pPr>
        <w:pStyle w:val="5"/>
        <w:adjustRightInd w:val="0"/>
        <w:snapToGrid w:val="0"/>
        <w:spacing w:before="0" w:after="0" w:line="360" w:lineRule="auto"/>
        <w:jc w:val="center"/>
        <w:rPr>
          <w:rFonts w:hint="eastAsia"/>
          <w:color w:val="auto"/>
        </w:rPr>
      </w:pPr>
    </w:p>
    <w:p>
      <w:pPr>
        <w:pStyle w:val="5"/>
        <w:adjustRightInd w:val="0"/>
        <w:snapToGrid w:val="0"/>
        <w:spacing w:before="0" w:after="0" w:line="360" w:lineRule="auto"/>
        <w:jc w:val="both"/>
        <w:rPr>
          <w:rFonts w:hint="eastAsia"/>
          <w:color w:val="auto"/>
        </w:rPr>
      </w:pPr>
    </w:p>
    <w:p>
      <w:pPr>
        <w:pStyle w:val="5"/>
        <w:adjustRightInd w:val="0"/>
        <w:snapToGrid w:val="0"/>
        <w:spacing w:before="0" w:after="0" w:line="360" w:lineRule="auto"/>
        <w:jc w:val="center"/>
        <w:rPr>
          <w:rFonts w:hint="eastAsia"/>
          <w:color w:val="auto"/>
        </w:rPr>
      </w:pPr>
    </w:p>
    <w:p>
      <w:pPr>
        <w:pStyle w:val="5"/>
        <w:adjustRightInd w:val="0"/>
        <w:snapToGrid w:val="0"/>
        <w:spacing w:before="0" w:after="0" w:line="360" w:lineRule="auto"/>
        <w:jc w:val="cente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pStyle w:val="5"/>
        <w:pageBreakBefore w:val="0"/>
        <w:widowControl w:val="0"/>
        <w:kinsoku/>
        <w:wordWrap/>
        <w:overflowPunct/>
        <w:topLinePunct w:val="0"/>
        <w:autoSpaceDE/>
        <w:autoSpaceDN/>
        <w:bidi w:val="0"/>
        <w:adjustRightInd w:val="0"/>
        <w:snapToGrid w:val="0"/>
        <w:spacing w:before="0" w:beforeLines="0" w:after="0" w:afterLines="0" w:line="360" w:lineRule="exact"/>
        <w:jc w:val="center"/>
        <w:textAlignment w:val="auto"/>
        <w:rPr>
          <w:rFonts w:hint="eastAsia"/>
          <w:color w:val="auto"/>
          <w:sz w:val="36"/>
          <w:szCs w:val="36"/>
        </w:rPr>
      </w:pPr>
      <w:r>
        <w:rPr>
          <w:rFonts w:hint="eastAsia"/>
          <w:color w:val="auto"/>
          <w:sz w:val="36"/>
          <w:szCs w:val="36"/>
        </w:rPr>
        <w:br w:type="page"/>
      </w:r>
      <w:r>
        <w:rPr>
          <w:rFonts w:hint="eastAsia"/>
          <w:color w:val="auto"/>
          <w:sz w:val="36"/>
          <w:szCs w:val="36"/>
        </w:rPr>
        <w:t>第五章 工程量清单</w:t>
      </w:r>
      <w:bookmarkEnd w:id="507"/>
      <w:bookmarkEnd w:id="508"/>
      <w:bookmarkEnd w:id="510"/>
      <w:bookmarkEnd w:id="511"/>
    </w:p>
    <w:p>
      <w:pPr>
        <w:pageBreakBefore w:val="0"/>
        <w:widowControl w:val="0"/>
        <w:kinsoku/>
        <w:wordWrap/>
        <w:overflowPunct/>
        <w:topLinePunct w:val="0"/>
        <w:autoSpaceDE/>
        <w:autoSpaceDN/>
        <w:bidi w:val="0"/>
        <w:snapToGrid w:val="0"/>
        <w:spacing w:line="360" w:lineRule="exact"/>
        <w:textAlignment w:val="auto"/>
        <w:rPr>
          <w:rFonts w:hint="eastAsia" w:ascii="宋体" w:hAnsi="宋体"/>
          <w:b/>
          <w:color w:val="auto"/>
          <w:szCs w:val="21"/>
        </w:rPr>
      </w:pPr>
      <w:bookmarkStart w:id="512" w:name="招标文件05章工程量清单01"/>
      <w:bookmarkEnd w:id="512"/>
      <w:bookmarkStart w:id="513" w:name="_Toc287607856"/>
      <w:bookmarkStart w:id="514" w:name="_Toc6571"/>
      <w:bookmarkStart w:id="515" w:name="_Toc10425"/>
      <w:bookmarkStart w:id="516" w:name="_Toc224103477"/>
      <w:bookmarkStart w:id="517" w:name="_Toc386029709"/>
      <w:bookmarkStart w:id="518" w:name="_Toc277082638"/>
      <w:r>
        <w:rPr>
          <w:rFonts w:hint="eastAsia" w:ascii="宋体" w:hAnsi="宋体"/>
          <w:b/>
          <w:color w:val="auto"/>
          <w:szCs w:val="21"/>
        </w:rPr>
        <w:t>1. 工程量清单说明</w:t>
      </w:r>
      <w:bookmarkEnd w:id="513"/>
      <w:bookmarkEnd w:id="514"/>
      <w:bookmarkEnd w:id="515"/>
      <w:bookmarkEnd w:id="516"/>
      <w:bookmarkEnd w:id="517"/>
      <w:bookmarkEnd w:id="518"/>
    </w:p>
    <w:p>
      <w:pPr>
        <w:pageBreakBefore w:val="0"/>
        <w:widowControl w:val="0"/>
        <w:numPr>
          <w:ilvl w:val="1"/>
          <w:numId w:val="8"/>
        </w:numPr>
        <w:kinsoku/>
        <w:wordWrap/>
        <w:overflowPunct/>
        <w:topLinePunct w:val="0"/>
        <w:autoSpaceDE/>
        <w:autoSpaceDN/>
        <w:bidi w:val="0"/>
        <w:snapToGrid w:val="0"/>
        <w:spacing w:line="360" w:lineRule="exact"/>
        <w:ind w:left="0" w:firstLine="462"/>
        <w:textAlignment w:val="auto"/>
        <w:rPr>
          <w:rFonts w:hint="eastAsia" w:ascii="宋体" w:hAnsi="宋体"/>
          <w:color w:val="auto"/>
          <w:szCs w:val="21"/>
        </w:rPr>
      </w:pPr>
      <w:r>
        <w:rPr>
          <w:rFonts w:hint="eastAsia" w:ascii="宋体" w:hAnsi="宋体"/>
          <w:color w:val="auto"/>
          <w:szCs w:val="21"/>
        </w:rPr>
        <w:t>本工程量清单是根据招标文件中包括的、有合同约束力的图纸以及《建设工程工程量清单计价规范》（GB50500-2013）、《重庆市建设工程工程量清单计价规则》（CQJJGZ-2013）、《重庆市建设工程工程量计算规则》（CQJLGZ-2013）进行编制。国家计量规范和重庆市计量规则中没有的清单项目，其工程量按照有合同约束力的图纸所标示尺寸的理论净量计算。计量采用中华人民共和国法定计量单位。</w:t>
      </w:r>
    </w:p>
    <w:p>
      <w:pPr>
        <w:pageBreakBefore w:val="0"/>
        <w:widowControl w:val="0"/>
        <w:numPr>
          <w:ilvl w:val="1"/>
          <w:numId w:val="8"/>
        </w:numPr>
        <w:kinsoku/>
        <w:wordWrap/>
        <w:overflowPunct/>
        <w:topLinePunct w:val="0"/>
        <w:autoSpaceDE/>
        <w:autoSpaceDN/>
        <w:bidi w:val="0"/>
        <w:snapToGrid w:val="0"/>
        <w:spacing w:line="360" w:lineRule="exact"/>
        <w:ind w:left="0" w:firstLine="462"/>
        <w:textAlignment w:val="auto"/>
        <w:rPr>
          <w:rFonts w:hint="eastAsia" w:ascii="宋体" w:hAnsi="宋体"/>
          <w:color w:val="auto"/>
          <w:szCs w:val="21"/>
        </w:rPr>
      </w:pPr>
      <w:r>
        <w:rPr>
          <w:rFonts w:hint="eastAsia" w:ascii="宋体" w:hAnsi="宋体"/>
          <w:color w:val="auto"/>
          <w:szCs w:val="21"/>
        </w:rPr>
        <w:t>本工程量清单应与招标文件中的投标人须知、通用合同条款、专用合同条款、技术标准和要求及图纸等一起阅读和理解。</w:t>
      </w:r>
    </w:p>
    <w:p>
      <w:pPr>
        <w:pageBreakBefore w:val="0"/>
        <w:widowControl w:val="0"/>
        <w:numPr>
          <w:ilvl w:val="1"/>
          <w:numId w:val="8"/>
        </w:numPr>
        <w:kinsoku/>
        <w:wordWrap/>
        <w:overflowPunct/>
        <w:topLinePunct w:val="0"/>
        <w:autoSpaceDE/>
        <w:autoSpaceDN/>
        <w:bidi w:val="0"/>
        <w:snapToGrid w:val="0"/>
        <w:spacing w:line="360" w:lineRule="exact"/>
        <w:ind w:left="0" w:firstLine="462"/>
        <w:textAlignment w:val="auto"/>
        <w:rPr>
          <w:rFonts w:hint="eastAsia" w:ascii="宋体" w:hAnsi="宋体"/>
          <w:color w:val="auto"/>
          <w:szCs w:val="21"/>
        </w:rPr>
      </w:pPr>
      <w:r>
        <w:rPr>
          <w:rFonts w:hint="eastAsia" w:ascii="宋体" w:hAnsi="宋体"/>
          <w:color w:val="auto"/>
          <w:szCs w:val="21"/>
        </w:rPr>
        <w:t>工程量清单中给出的工程量是估算量或暂定量，是为投标报价确定的共同的基础，不能作为最终结算与支付的依据。实际工程计量和工程价款的支付应遵循合同条款的约定和第七章“技术标准和要求”的有关规定，由承包人按本章1.1规定的计量方法，以发包人或监理人认可的尺寸、断面计量，按工程量清单中所报的单价和总价及合同中另有规定的发包人或监理人同意的单价和总价计算支付额。</w:t>
      </w:r>
    </w:p>
    <w:p>
      <w:pPr>
        <w:pageBreakBefore w:val="0"/>
        <w:widowControl w:val="0"/>
        <w:kinsoku/>
        <w:wordWrap/>
        <w:overflowPunct/>
        <w:topLinePunct w:val="0"/>
        <w:autoSpaceDE/>
        <w:autoSpaceDN/>
        <w:bidi w:val="0"/>
        <w:snapToGrid w:val="0"/>
        <w:spacing w:line="360" w:lineRule="exact"/>
        <w:textAlignment w:val="auto"/>
        <w:rPr>
          <w:rFonts w:hint="eastAsia" w:ascii="宋体" w:hAnsi="宋体"/>
          <w:b/>
          <w:color w:val="auto"/>
          <w:szCs w:val="21"/>
        </w:rPr>
      </w:pPr>
      <w:bookmarkStart w:id="519" w:name="_Toc386029710"/>
      <w:bookmarkStart w:id="520" w:name="_Toc224103478"/>
      <w:bookmarkStart w:id="521" w:name="_Toc287607857"/>
      <w:bookmarkStart w:id="522" w:name="_Toc14153"/>
      <w:bookmarkStart w:id="523" w:name="_Toc277082639"/>
      <w:bookmarkStart w:id="524" w:name="_Toc30791"/>
      <w:r>
        <w:rPr>
          <w:rFonts w:hint="eastAsia" w:ascii="宋体" w:hAnsi="宋体"/>
          <w:b/>
          <w:color w:val="auto"/>
          <w:szCs w:val="21"/>
        </w:rPr>
        <w:t>2. 投标报价说明</w:t>
      </w:r>
      <w:bookmarkEnd w:id="519"/>
      <w:bookmarkEnd w:id="520"/>
      <w:bookmarkEnd w:id="521"/>
      <w:bookmarkEnd w:id="522"/>
      <w:bookmarkEnd w:id="523"/>
      <w:bookmarkEnd w:id="524"/>
    </w:p>
    <w:p>
      <w:pPr>
        <w:pageBreakBefore w:val="0"/>
        <w:widowControl w:val="0"/>
        <w:numPr>
          <w:ilvl w:val="1"/>
          <w:numId w:val="9"/>
        </w:numPr>
        <w:kinsoku/>
        <w:wordWrap/>
        <w:overflowPunct/>
        <w:topLinePunct w:val="0"/>
        <w:autoSpaceDE/>
        <w:autoSpaceDN/>
        <w:bidi w:val="0"/>
        <w:snapToGrid w:val="0"/>
        <w:spacing w:line="360" w:lineRule="exact"/>
        <w:ind w:left="0" w:firstLine="476"/>
        <w:textAlignment w:val="auto"/>
        <w:rPr>
          <w:rFonts w:hint="eastAsia" w:ascii="宋体" w:hAnsi="宋体"/>
          <w:color w:val="auto"/>
          <w:szCs w:val="21"/>
        </w:rPr>
      </w:pPr>
      <w:r>
        <w:rPr>
          <w:rFonts w:hint="eastAsia" w:ascii="宋体" w:hAnsi="宋体"/>
          <w:color w:val="auto"/>
          <w:szCs w:val="21"/>
        </w:rPr>
        <w:t>不管工程量是否列出，工程量清单中的每一子目都应填报单价或总价，且只允许有一个报价。承包人未填报单价或总价的子目，其费用应视为已包括在工程量清单中其他相关子目的单价和总价之中，承包人必须按监理人指令完成工程量清单中未填报单价或总价的工程项目，但不能得到额外的结算与支付。</w:t>
      </w:r>
    </w:p>
    <w:p>
      <w:pPr>
        <w:pageBreakBefore w:val="0"/>
        <w:widowControl w:val="0"/>
        <w:numPr>
          <w:ilvl w:val="1"/>
          <w:numId w:val="9"/>
        </w:numPr>
        <w:kinsoku/>
        <w:wordWrap/>
        <w:overflowPunct/>
        <w:topLinePunct w:val="0"/>
        <w:autoSpaceDE/>
        <w:autoSpaceDN/>
        <w:bidi w:val="0"/>
        <w:snapToGrid w:val="0"/>
        <w:spacing w:line="360" w:lineRule="exact"/>
        <w:ind w:left="0" w:firstLine="476"/>
        <w:textAlignment w:val="auto"/>
        <w:rPr>
          <w:rFonts w:hint="eastAsia" w:ascii="宋体" w:hAnsi="宋体"/>
          <w:color w:val="auto"/>
          <w:szCs w:val="21"/>
        </w:rPr>
      </w:pPr>
      <w:r>
        <w:rPr>
          <w:rFonts w:hint="eastAsia" w:ascii="宋体" w:hAnsi="宋体"/>
          <w:color w:val="auto"/>
          <w:szCs w:val="21"/>
        </w:rPr>
        <w:t>除非合同另有规定，标价的工程量清单中的单价和总价均已包括了承包人为实施和完成合同工程所需的人工费、材料和工程设备费、施工机具使用费、企业管理费、利润等费用，以及合同文件中明示或暗示的应由承包人承担的所有责任、义务和一般风险。</w:t>
      </w:r>
    </w:p>
    <w:p>
      <w:pPr>
        <w:pageBreakBefore w:val="0"/>
        <w:widowControl w:val="0"/>
        <w:numPr>
          <w:ilvl w:val="1"/>
          <w:numId w:val="9"/>
        </w:numPr>
        <w:kinsoku/>
        <w:wordWrap/>
        <w:overflowPunct/>
        <w:topLinePunct w:val="0"/>
        <w:autoSpaceDE/>
        <w:autoSpaceDN/>
        <w:bidi w:val="0"/>
        <w:snapToGrid w:val="0"/>
        <w:spacing w:line="360" w:lineRule="exact"/>
        <w:ind w:left="0" w:firstLine="476"/>
        <w:textAlignment w:val="auto"/>
        <w:rPr>
          <w:rFonts w:hint="eastAsia" w:ascii="宋体" w:hAnsi="宋体"/>
          <w:color w:val="auto"/>
          <w:szCs w:val="21"/>
        </w:rPr>
      </w:pPr>
      <w:r>
        <w:rPr>
          <w:rFonts w:hint="eastAsia" w:ascii="宋体" w:hAnsi="宋体"/>
          <w:color w:val="auto"/>
          <w:szCs w:val="21"/>
        </w:rPr>
        <w:t>按基准日期前的法律、法规规定，承包人因承包本合同工程缴纳的各种规费和一切税费均由承包人承担，并包含在所报投标总价中。</w:t>
      </w:r>
    </w:p>
    <w:p>
      <w:pPr>
        <w:pageBreakBefore w:val="0"/>
        <w:widowControl w:val="0"/>
        <w:kinsoku/>
        <w:wordWrap/>
        <w:overflowPunct/>
        <w:topLinePunct w:val="0"/>
        <w:autoSpaceDE/>
        <w:autoSpaceDN/>
        <w:bidi w:val="0"/>
        <w:snapToGrid w:val="0"/>
        <w:spacing w:line="360" w:lineRule="exact"/>
        <w:ind w:firstLine="420" w:firstLineChars="200"/>
        <w:textAlignment w:val="auto"/>
        <w:rPr>
          <w:rFonts w:hint="eastAsia" w:ascii="宋体" w:hAnsi="宋体"/>
          <w:color w:val="auto"/>
          <w:szCs w:val="21"/>
        </w:rPr>
      </w:pPr>
      <w:r>
        <w:rPr>
          <w:rFonts w:hint="eastAsia" w:ascii="宋体" w:hAnsi="宋体"/>
          <w:color w:val="auto"/>
          <w:szCs w:val="21"/>
        </w:rPr>
        <w:t>2.4工程保险和第三者责任险应根据专用合同条款第20.1款和第20.4款规定的保险金额和保险费率计算保险费，所有本合同规定</w:t>
      </w:r>
      <w:r>
        <w:rPr>
          <w:rFonts w:hint="eastAsia" w:ascii="宋体" w:hAnsi="宋体"/>
          <w:color w:val="auto"/>
          <w:szCs w:val="21"/>
          <w:lang w:eastAsia="zh-CN"/>
        </w:rPr>
        <w:t>的保险</w:t>
      </w:r>
      <w:r>
        <w:rPr>
          <w:rFonts w:hint="eastAsia" w:ascii="宋体" w:hAnsi="宋体"/>
          <w:color w:val="auto"/>
          <w:szCs w:val="21"/>
        </w:rPr>
        <w:t>费均由承包人承担并支付并含在投标报价中。</w:t>
      </w:r>
    </w:p>
    <w:p>
      <w:pPr>
        <w:pageBreakBefore w:val="0"/>
        <w:widowControl w:val="0"/>
        <w:kinsoku/>
        <w:wordWrap/>
        <w:overflowPunct/>
        <w:topLinePunct w:val="0"/>
        <w:autoSpaceDE/>
        <w:autoSpaceDN/>
        <w:bidi w:val="0"/>
        <w:snapToGrid w:val="0"/>
        <w:spacing w:line="360" w:lineRule="exact"/>
        <w:ind w:firstLine="420" w:firstLineChars="200"/>
        <w:textAlignment w:val="auto"/>
        <w:rPr>
          <w:rFonts w:hint="eastAsia" w:ascii="宋体" w:hAnsi="宋体"/>
          <w:color w:val="auto"/>
          <w:szCs w:val="21"/>
        </w:rPr>
      </w:pPr>
      <w:r>
        <w:rPr>
          <w:rFonts w:hint="eastAsia" w:ascii="宋体" w:hAnsi="宋体"/>
          <w:color w:val="auto"/>
          <w:szCs w:val="21"/>
        </w:rPr>
        <w:t>2.5单价和总价应以人民币报价，付款也按人民币支付。</w:t>
      </w:r>
    </w:p>
    <w:p>
      <w:pPr>
        <w:pageBreakBefore w:val="0"/>
        <w:widowControl w:val="0"/>
        <w:kinsoku/>
        <w:wordWrap/>
        <w:overflowPunct/>
        <w:topLinePunct w:val="0"/>
        <w:autoSpaceDE/>
        <w:autoSpaceDN/>
        <w:bidi w:val="0"/>
        <w:snapToGrid w:val="0"/>
        <w:spacing w:line="360" w:lineRule="exact"/>
        <w:ind w:firstLine="420" w:firstLineChars="200"/>
        <w:textAlignment w:val="auto"/>
        <w:rPr>
          <w:rFonts w:hint="eastAsia" w:ascii="宋体" w:hAnsi="宋体"/>
          <w:color w:val="auto"/>
          <w:szCs w:val="21"/>
        </w:rPr>
      </w:pPr>
      <w:r>
        <w:rPr>
          <w:rFonts w:hint="eastAsia" w:ascii="宋体" w:hAnsi="宋体"/>
          <w:color w:val="auto"/>
          <w:szCs w:val="21"/>
        </w:rPr>
        <w:t>2.6对工程施工和材料等的一般要求和说明，未在工程量清单中完整重述或摘录，在填报工程量清单的每个子目前应参见合同文件、技术标准和要求及图纸的相关内容。</w:t>
      </w:r>
    </w:p>
    <w:p>
      <w:pPr>
        <w:pageBreakBefore w:val="0"/>
        <w:widowControl w:val="0"/>
        <w:kinsoku/>
        <w:wordWrap/>
        <w:overflowPunct/>
        <w:topLinePunct w:val="0"/>
        <w:autoSpaceDE/>
        <w:autoSpaceDN/>
        <w:bidi w:val="0"/>
        <w:snapToGrid w:val="0"/>
        <w:spacing w:line="360" w:lineRule="exact"/>
        <w:ind w:firstLine="420" w:firstLineChars="200"/>
        <w:textAlignment w:val="auto"/>
        <w:rPr>
          <w:rFonts w:hint="eastAsia" w:ascii="宋体" w:hAnsi="宋体"/>
          <w:color w:val="auto"/>
          <w:szCs w:val="21"/>
        </w:rPr>
      </w:pPr>
      <w:r>
        <w:rPr>
          <w:rFonts w:hint="eastAsia" w:ascii="宋体" w:hAnsi="宋体"/>
          <w:color w:val="auto"/>
          <w:szCs w:val="21"/>
        </w:rPr>
        <w:t>2.7工程量清单中所列工程量的变动，不应降低和影响合同条款的效力，也不应免除承包人按规定的标准进行施工和修复缺陷的责任。</w:t>
      </w:r>
    </w:p>
    <w:p>
      <w:pPr>
        <w:pageBreakBefore w:val="0"/>
        <w:widowControl w:val="0"/>
        <w:kinsoku/>
        <w:wordWrap/>
        <w:overflowPunct/>
        <w:topLinePunct w:val="0"/>
        <w:autoSpaceDE/>
        <w:autoSpaceDN/>
        <w:bidi w:val="0"/>
        <w:snapToGrid w:val="0"/>
        <w:spacing w:line="360" w:lineRule="exact"/>
        <w:ind w:firstLine="420" w:firstLineChars="200"/>
        <w:textAlignment w:val="auto"/>
        <w:rPr>
          <w:rFonts w:hint="eastAsia" w:ascii="宋体" w:hAnsi="宋体"/>
          <w:color w:val="auto"/>
          <w:szCs w:val="21"/>
        </w:rPr>
      </w:pPr>
      <w:r>
        <w:rPr>
          <w:rFonts w:hint="eastAsia" w:ascii="宋体" w:hAnsi="宋体"/>
          <w:color w:val="auto"/>
          <w:szCs w:val="21"/>
        </w:rPr>
        <w:t>2.8安全文明施工费是专用于建设行政主管部门特别强制要求采取的安全文明施工措施的费用，其内容、计取标准和支付办法，应按重庆市建设行政主管部门强制性规定（渝建发</w:t>
      </w:r>
      <w:r>
        <w:rPr>
          <w:rFonts w:hint="eastAsia" w:ascii="宋体" w:hAnsi="宋体"/>
          <w:color w:val="auto"/>
          <w:szCs w:val="21"/>
          <w:lang w:eastAsia="zh-CN"/>
        </w:rPr>
        <w:t>〔</w:t>
      </w:r>
      <w:r>
        <w:rPr>
          <w:rFonts w:hint="eastAsia" w:ascii="宋体" w:hAnsi="宋体"/>
          <w:color w:val="auto"/>
          <w:szCs w:val="21"/>
        </w:rPr>
        <w:t>2014</w:t>
      </w:r>
      <w:r>
        <w:rPr>
          <w:rFonts w:hint="eastAsia" w:ascii="宋体" w:hAnsi="宋体"/>
          <w:color w:val="auto"/>
          <w:szCs w:val="21"/>
          <w:lang w:eastAsia="zh-CN"/>
        </w:rPr>
        <w:t>〕</w:t>
      </w:r>
      <w:r>
        <w:rPr>
          <w:rFonts w:hint="eastAsia" w:ascii="宋体" w:hAnsi="宋体"/>
          <w:color w:val="auto"/>
          <w:szCs w:val="21"/>
        </w:rPr>
        <w:t>25号）工作内容执行，费用按</w:t>
      </w:r>
      <w:r>
        <w:rPr>
          <w:rFonts w:hint="eastAsia" w:ascii="宋体" w:hAnsi="宋体" w:eastAsia="宋体" w:cs="宋体"/>
          <w:color w:val="auto"/>
          <w:kern w:val="0"/>
          <w:szCs w:val="21"/>
        </w:rPr>
        <w:t>《关于印发</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重庆市建设工程安全文明施工费计取及使用管理规定</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的通知》（渝建发</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2014</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25号）及《重庆市城乡建设委员会关于建筑业营业税改增值税调整建设工程计价依据的通知》（渝建发〔2016〕35号）</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重庆市城乡建设委员会关于适用增值税新税税率调整建筑工程计价依据的通知</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渝建</w:t>
      </w:r>
      <w:r>
        <w:rPr>
          <w:rFonts w:hint="eastAsia" w:ascii="宋体" w:hAnsi="宋体" w:eastAsia="宋体" w:cs="宋体"/>
          <w:color w:val="auto"/>
          <w:kern w:val="0"/>
          <w:szCs w:val="21"/>
        </w:rPr>
        <w:t>〔201</w:t>
      </w:r>
      <w:r>
        <w:rPr>
          <w:rFonts w:hint="eastAsia" w:ascii="宋体" w:hAnsi="宋体" w:eastAsia="宋体" w:cs="宋体"/>
          <w:color w:val="auto"/>
          <w:kern w:val="0"/>
          <w:szCs w:val="21"/>
          <w:lang w:val="en-US" w:eastAsia="zh-CN"/>
        </w:rPr>
        <w:t>9</w:t>
      </w: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143</w:t>
      </w:r>
      <w:r>
        <w:rPr>
          <w:rFonts w:hint="eastAsia" w:ascii="宋体" w:hAnsi="宋体" w:eastAsia="宋体" w:cs="宋体"/>
          <w:color w:val="auto"/>
          <w:kern w:val="0"/>
          <w:szCs w:val="21"/>
        </w:rPr>
        <w:t>号</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规定进行</w:t>
      </w:r>
      <w:r>
        <w:rPr>
          <w:rFonts w:hint="eastAsia" w:ascii="宋体" w:hAnsi="宋体" w:eastAsia="宋体" w:cs="宋体"/>
          <w:color w:val="auto"/>
          <w:kern w:val="0"/>
          <w:szCs w:val="21"/>
          <w:lang w:val="en-US" w:eastAsia="zh-CN"/>
        </w:rPr>
        <w:t>计算</w:t>
      </w:r>
      <w:r>
        <w:rPr>
          <w:rFonts w:hint="eastAsia" w:ascii="宋体" w:hAnsi="宋体" w:cs="宋体"/>
          <w:color w:val="auto"/>
          <w:kern w:val="0"/>
          <w:szCs w:val="21"/>
        </w:rPr>
        <w:t>，</w:t>
      </w:r>
      <w:r>
        <w:rPr>
          <w:rFonts w:hint="eastAsia" w:ascii="宋体" w:hAnsi="宋体"/>
          <w:color w:val="auto"/>
          <w:szCs w:val="21"/>
        </w:rPr>
        <w:t>并作为暂定价由比选人公布，仅作为投标报价的共同基础。工程结算时，按实调整，并按规定的支付方式支付。</w:t>
      </w:r>
    </w:p>
    <w:p>
      <w:pPr>
        <w:pageBreakBefore w:val="0"/>
        <w:widowControl w:val="0"/>
        <w:kinsoku/>
        <w:wordWrap/>
        <w:overflowPunct/>
        <w:topLinePunct w:val="0"/>
        <w:autoSpaceDE/>
        <w:autoSpaceDN/>
        <w:bidi w:val="0"/>
        <w:snapToGrid w:val="0"/>
        <w:spacing w:line="360" w:lineRule="exact"/>
        <w:ind w:firstLine="420" w:firstLineChars="200"/>
        <w:textAlignment w:val="auto"/>
        <w:rPr>
          <w:rFonts w:hint="eastAsia" w:ascii="宋体" w:hAnsi="宋体"/>
          <w:color w:val="auto"/>
          <w:szCs w:val="21"/>
        </w:rPr>
      </w:pPr>
      <w:r>
        <w:rPr>
          <w:rFonts w:hint="eastAsia" w:ascii="宋体" w:hAnsi="宋体"/>
          <w:color w:val="auto"/>
          <w:szCs w:val="21"/>
        </w:rPr>
        <w:t>2.9图纸中所列的工程数量表及数量汇总表仅是提供资料，不是工程量清单的扩大或延伸。当各部分和工程量清单所列数量不一致时，以工程量清单所列数量作为报价的依据。</w:t>
      </w:r>
    </w:p>
    <w:p>
      <w:pPr>
        <w:pageBreakBefore w:val="0"/>
        <w:widowControl w:val="0"/>
        <w:tabs>
          <w:tab w:val="left" w:pos="840"/>
          <w:tab w:val="left" w:pos="1050"/>
        </w:tabs>
        <w:kinsoku/>
        <w:wordWrap/>
        <w:overflowPunct/>
        <w:topLinePunct w:val="0"/>
        <w:autoSpaceDE/>
        <w:autoSpaceDN/>
        <w:bidi w:val="0"/>
        <w:snapToGrid w:val="0"/>
        <w:spacing w:line="360" w:lineRule="exact"/>
        <w:ind w:firstLine="420" w:firstLineChars="200"/>
        <w:textAlignment w:val="auto"/>
        <w:rPr>
          <w:rFonts w:hint="eastAsia" w:ascii="宋体" w:hAnsi="宋体"/>
          <w:color w:val="auto"/>
          <w:szCs w:val="21"/>
        </w:rPr>
      </w:pPr>
      <w:r>
        <w:rPr>
          <w:rFonts w:hint="eastAsia" w:ascii="宋体" w:hAnsi="宋体"/>
          <w:color w:val="auto"/>
          <w:szCs w:val="21"/>
        </w:rPr>
        <w:t>2.10授予合同前发现的算术错误将由发包人按评标办法3.1.3条规定的原则予以更正。</w:t>
      </w:r>
    </w:p>
    <w:p>
      <w:pPr>
        <w:pageBreakBefore w:val="0"/>
        <w:widowControl w:val="0"/>
        <w:tabs>
          <w:tab w:val="left" w:pos="840"/>
          <w:tab w:val="left" w:pos="1050"/>
        </w:tabs>
        <w:kinsoku/>
        <w:wordWrap/>
        <w:overflowPunct/>
        <w:topLinePunct w:val="0"/>
        <w:autoSpaceDE/>
        <w:autoSpaceDN/>
        <w:bidi w:val="0"/>
        <w:snapToGrid w:val="0"/>
        <w:spacing w:line="360" w:lineRule="exact"/>
        <w:ind w:firstLine="420" w:firstLineChars="200"/>
        <w:textAlignment w:val="auto"/>
        <w:rPr>
          <w:rFonts w:hint="eastAsia" w:ascii="宋体" w:hAnsi="宋体"/>
          <w:color w:val="auto"/>
          <w:szCs w:val="21"/>
        </w:rPr>
      </w:pPr>
      <w:bookmarkStart w:id="525" w:name="_Toc386029711"/>
      <w:bookmarkStart w:id="526" w:name="_Toc277082640"/>
      <w:bookmarkStart w:id="527" w:name="_Toc287607858"/>
      <w:bookmarkStart w:id="528" w:name="_Toc224103479"/>
      <w:bookmarkStart w:id="529" w:name="_Toc24925"/>
      <w:bookmarkStart w:id="530" w:name="_Toc25457"/>
      <w:r>
        <w:rPr>
          <w:rFonts w:hint="eastAsia" w:ascii="宋体" w:hAnsi="宋体"/>
          <w:color w:val="auto"/>
          <w:szCs w:val="21"/>
        </w:rPr>
        <w:t>2.11暂列金额</w:t>
      </w:r>
    </w:p>
    <w:p>
      <w:pPr>
        <w:pageBreakBefore w:val="0"/>
        <w:widowControl w:val="0"/>
        <w:kinsoku/>
        <w:wordWrap/>
        <w:overflowPunct/>
        <w:topLinePunct w:val="0"/>
        <w:autoSpaceDE/>
        <w:autoSpaceDN/>
        <w:bidi w:val="0"/>
        <w:snapToGrid w:val="0"/>
        <w:spacing w:line="360" w:lineRule="exact"/>
        <w:ind w:firstLine="420" w:firstLineChars="200"/>
        <w:textAlignment w:val="auto"/>
        <w:rPr>
          <w:rFonts w:hint="eastAsia" w:ascii="宋体" w:hAnsi="宋体"/>
          <w:color w:val="auto"/>
          <w:szCs w:val="21"/>
        </w:rPr>
      </w:pPr>
      <w:r>
        <w:rPr>
          <w:rFonts w:hint="eastAsia" w:ascii="宋体" w:hAnsi="宋体"/>
          <w:color w:val="auto"/>
          <w:szCs w:val="21"/>
        </w:rPr>
        <w:t>工程量清单中给出的暂列金额子目，除计日工外，投标人只需要直接将工程量清单中所列的暂列金额纳入投标总价并计取规费和税金，不需要在工程量清单中所列的暂列金额以外再考虑任何其它费用。包括在工程量清单中并指明为“暂列金额”的子目应按合同条款的规定由监理人指示和决定全部或部分使用，或根本不予动用。</w:t>
      </w:r>
    </w:p>
    <w:p>
      <w:pPr>
        <w:pageBreakBefore w:val="0"/>
        <w:widowControl w:val="0"/>
        <w:tabs>
          <w:tab w:val="left" w:pos="840"/>
          <w:tab w:val="left" w:pos="1050"/>
        </w:tabs>
        <w:kinsoku/>
        <w:wordWrap/>
        <w:overflowPunct/>
        <w:topLinePunct w:val="0"/>
        <w:autoSpaceDE/>
        <w:autoSpaceDN/>
        <w:bidi w:val="0"/>
        <w:snapToGrid w:val="0"/>
        <w:spacing w:line="360" w:lineRule="exact"/>
        <w:ind w:firstLine="525" w:firstLineChars="250"/>
        <w:textAlignment w:val="auto"/>
        <w:rPr>
          <w:rFonts w:hint="eastAsia" w:ascii="宋体" w:hAnsi="宋体"/>
          <w:color w:val="auto"/>
          <w:szCs w:val="21"/>
        </w:rPr>
      </w:pPr>
      <w:r>
        <w:rPr>
          <w:rFonts w:hint="eastAsia" w:ascii="宋体" w:hAnsi="宋体"/>
          <w:color w:val="auto"/>
          <w:szCs w:val="21"/>
        </w:rPr>
        <w:t>2.12计日工</w:t>
      </w:r>
    </w:p>
    <w:p>
      <w:pPr>
        <w:pageBreakBefore w:val="0"/>
        <w:widowControl w:val="0"/>
        <w:kinsoku/>
        <w:wordWrap/>
        <w:overflowPunct/>
        <w:topLinePunct w:val="0"/>
        <w:autoSpaceDE/>
        <w:autoSpaceDN/>
        <w:bidi w:val="0"/>
        <w:snapToGrid w:val="0"/>
        <w:spacing w:line="360" w:lineRule="exact"/>
        <w:ind w:firstLine="420" w:firstLineChars="200"/>
        <w:textAlignment w:val="auto"/>
        <w:rPr>
          <w:rFonts w:hint="eastAsia" w:ascii="宋体" w:hAnsi="宋体"/>
          <w:color w:val="auto"/>
          <w:szCs w:val="21"/>
        </w:rPr>
      </w:pPr>
      <w:r>
        <w:rPr>
          <w:rFonts w:hint="eastAsia" w:ascii="宋体" w:hAnsi="宋体"/>
          <w:color w:val="auto"/>
          <w:szCs w:val="21"/>
        </w:rPr>
        <w:t>计日工属暂列金额，由监理人确定用于实施变更的零星工作的计价。计日工的估算数量已列入工程量清单中的“计日工计价表”，承包人在报价时只需按下列要求填报单价和合价，计日工数量不得更改。</w:t>
      </w:r>
    </w:p>
    <w:p>
      <w:pPr>
        <w:pageBreakBefore w:val="0"/>
        <w:widowControl w:val="0"/>
        <w:kinsoku/>
        <w:wordWrap/>
        <w:overflowPunct/>
        <w:topLinePunct w:val="0"/>
        <w:autoSpaceDE/>
        <w:autoSpaceDN/>
        <w:bidi w:val="0"/>
        <w:snapToGrid w:val="0"/>
        <w:spacing w:line="360" w:lineRule="exact"/>
        <w:ind w:firstLine="420" w:firstLineChars="200"/>
        <w:textAlignment w:val="auto"/>
        <w:rPr>
          <w:rFonts w:hint="eastAsia" w:ascii="宋体" w:hAnsi="宋体"/>
          <w:color w:val="auto"/>
          <w:szCs w:val="21"/>
        </w:rPr>
      </w:pPr>
      <w:r>
        <w:rPr>
          <w:rFonts w:hint="eastAsia" w:ascii="宋体" w:hAnsi="宋体"/>
          <w:color w:val="auto"/>
          <w:szCs w:val="21"/>
        </w:rPr>
        <w:t xml:space="preserve"> （1）人工费：用于计日工的人工工时计算，应从工人到达工作现场开始到离开现场为止，但应扣除用餐和休息时间。与工班一起工作的领班也应计入，但不得计入管理人员的工时消耗。承包人从事零星工作的人工费用应按计日工计价表中适用的人工单价乘以实际工时计算。此单价将被认为包括承包人开支的所有费用，包括（但不仅限于此）支付工人的工资、交通费用、超时工资、辅助工资和附加工资，以及任何</w:t>
      </w:r>
      <w:r>
        <w:rPr>
          <w:rFonts w:hint="eastAsia" w:ascii="宋体" w:hAnsi="宋体"/>
          <w:color w:val="auto"/>
          <w:szCs w:val="21"/>
          <w:lang w:eastAsia="zh-CN"/>
        </w:rPr>
        <w:t>其他费用</w:t>
      </w:r>
      <w:r>
        <w:rPr>
          <w:rFonts w:hint="eastAsia" w:ascii="宋体" w:hAnsi="宋体"/>
          <w:color w:val="auto"/>
          <w:szCs w:val="21"/>
        </w:rPr>
        <w:t>或按法律规定以其名义支付的费用；还应包括承包人的利润、管理费用、监督费用、财务和保险费用；工时记录、行政和办公费用；消费品、水、照明和电力使用费；小型运输工具、脚手架、车间、储藏间、轻便电动工具、手工设备和工具等的使用和维修费用；承包人职员、施工员和</w:t>
      </w:r>
      <w:r>
        <w:rPr>
          <w:rFonts w:hint="eastAsia" w:ascii="宋体" w:hAnsi="宋体"/>
          <w:color w:val="auto"/>
          <w:szCs w:val="21"/>
          <w:lang w:eastAsia="zh-CN"/>
        </w:rPr>
        <w:t>其他</w:t>
      </w:r>
      <w:r>
        <w:rPr>
          <w:rFonts w:hint="eastAsia" w:ascii="宋体" w:hAnsi="宋体"/>
          <w:color w:val="auto"/>
          <w:szCs w:val="21"/>
        </w:rPr>
        <w:t>监督人员的监督费用；以及与上述有关的所有</w:t>
      </w:r>
      <w:r>
        <w:rPr>
          <w:rFonts w:hint="eastAsia" w:ascii="宋体" w:hAnsi="宋体"/>
          <w:color w:val="auto"/>
          <w:szCs w:val="21"/>
          <w:lang w:eastAsia="zh-CN"/>
        </w:rPr>
        <w:t>其他费用</w:t>
      </w:r>
      <w:r>
        <w:rPr>
          <w:rFonts w:hint="eastAsia" w:ascii="宋体" w:hAnsi="宋体"/>
          <w:color w:val="auto"/>
          <w:szCs w:val="21"/>
        </w:rPr>
        <w:t>。</w:t>
      </w:r>
    </w:p>
    <w:p>
      <w:pPr>
        <w:pageBreakBefore w:val="0"/>
        <w:widowControl w:val="0"/>
        <w:kinsoku/>
        <w:wordWrap/>
        <w:overflowPunct/>
        <w:topLinePunct w:val="0"/>
        <w:autoSpaceDE/>
        <w:autoSpaceDN/>
        <w:bidi w:val="0"/>
        <w:snapToGrid w:val="0"/>
        <w:spacing w:line="360" w:lineRule="exact"/>
        <w:ind w:firstLine="420" w:firstLineChars="200"/>
        <w:textAlignment w:val="auto"/>
        <w:rPr>
          <w:rFonts w:hint="eastAsia" w:ascii="宋体" w:hAnsi="宋体"/>
          <w:color w:val="auto"/>
          <w:szCs w:val="21"/>
        </w:rPr>
      </w:pPr>
      <w:r>
        <w:rPr>
          <w:rFonts w:hint="eastAsia" w:ascii="宋体" w:hAnsi="宋体"/>
          <w:color w:val="auto"/>
          <w:szCs w:val="21"/>
        </w:rPr>
        <w:t>（2）材料费：用于计日工的材料消耗量应按实计量。材料费用将按计日工计价表中的单价支付，此单价已包括承包人的管理费用、利润以及材料原价加上运杂费、运输损耗费、采购及保管费、检验试验费和保险费等，并应提供到现场仓库。材料由仓库和堆放地运至施工现场的运输费用将按照计日工计价表中的人工和机械单价支付。</w:t>
      </w:r>
    </w:p>
    <w:p>
      <w:pPr>
        <w:pageBreakBefore w:val="0"/>
        <w:widowControl w:val="0"/>
        <w:kinsoku/>
        <w:wordWrap/>
        <w:overflowPunct/>
        <w:topLinePunct w:val="0"/>
        <w:autoSpaceDE/>
        <w:autoSpaceDN/>
        <w:bidi w:val="0"/>
        <w:snapToGrid w:val="0"/>
        <w:spacing w:line="360" w:lineRule="exact"/>
        <w:ind w:firstLine="420" w:firstLineChars="200"/>
        <w:textAlignment w:val="auto"/>
        <w:rPr>
          <w:rFonts w:hint="eastAsia" w:ascii="宋体" w:hAnsi="宋体"/>
          <w:color w:val="auto"/>
          <w:szCs w:val="21"/>
        </w:rPr>
      </w:pPr>
      <w:r>
        <w:rPr>
          <w:rFonts w:hint="eastAsia" w:ascii="宋体" w:hAnsi="宋体"/>
          <w:color w:val="auto"/>
          <w:szCs w:val="21"/>
        </w:rPr>
        <w:t>（3）机械费：已进场并用于计日工的机械设备应按实际台班消耗量计量，设备从</w:t>
      </w:r>
      <w:r>
        <w:rPr>
          <w:rFonts w:hint="eastAsia" w:ascii="宋体" w:hAnsi="宋体"/>
          <w:color w:val="auto"/>
          <w:szCs w:val="21"/>
          <w:lang w:eastAsia="zh-CN"/>
        </w:rPr>
        <w:t>停放地至工</w:t>
      </w:r>
      <w:r>
        <w:rPr>
          <w:rFonts w:hint="eastAsia" w:ascii="宋体" w:hAnsi="宋体"/>
          <w:color w:val="auto"/>
          <w:szCs w:val="21"/>
        </w:rPr>
        <w:t>作地点间的往返路程所花时间也应计算在内。设备费用按计日工计价表中的相应机械单价支付。此单价将认为已包括折旧费、大修费、经常修理费、安拆费、场外运费、燃料动力费、机上人工费和</w:t>
      </w:r>
      <w:r>
        <w:rPr>
          <w:rFonts w:hint="eastAsia" w:ascii="宋体" w:hAnsi="宋体"/>
          <w:color w:val="auto"/>
          <w:szCs w:val="21"/>
          <w:lang w:eastAsia="zh-CN"/>
        </w:rPr>
        <w:t>其他费用</w:t>
      </w:r>
      <w:r>
        <w:rPr>
          <w:rFonts w:hint="eastAsia" w:ascii="宋体" w:hAnsi="宋体"/>
          <w:color w:val="auto"/>
          <w:szCs w:val="21"/>
        </w:rPr>
        <w:t>，以及所有管理费、利润、以及与所使用设备有关的协调费用。</w:t>
      </w:r>
    </w:p>
    <w:p>
      <w:pPr>
        <w:pageBreakBefore w:val="0"/>
        <w:widowControl w:val="0"/>
        <w:tabs>
          <w:tab w:val="left" w:pos="840"/>
          <w:tab w:val="left" w:pos="1050"/>
        </w:tabs>
        <w:kinsoku/>
        <w:wordWrap/>
        <w:overflowPunct/>
        <w:topLinePunct w:val="0"/>
        <w:autoSpaceDE/>
        <w:autoSpaceDN/>
        <w:bidi w:val="0"/>
        <w:snapToGrid w:val="0"/>
        <w:spacing w:line="360" w:lineRule="exact"/>
        <w:ind w:firstLine="525" w:firstLineChars="250"/>
        <w:textAlignment w:val="auto"/>
        <w:rPr>
          <w:rFonts w:hint="eastAsia" w:ascii="宋体" w:hAnsi="宋体"/>
          <w:color w:val="auto"/>
          <w:szCs w:val="21"/>
          <w:shd w:val="pct10" w:color="auto" w:fill="FFFFFF"/>
        </w:rPr>
      </w:pPr>
      <w:r>
        <w:rPr>
          <w:rFonts w:hint="eastAsia" w:ascii="宋体" w:hAnsi="宋体"/>
          <w:color w:val="auto"/>
          <w:szCs w:val="21"/>
        </w:rPr>
        <w:t>2.13暂估价</w:t>
      </w:r>
    </w:p>
    <w:p>
      <w:pPr>
        <w:pageBreakBefore w:val="0"/>
        <w:widowControl w:val="0"/>
        <w:kinsoku/>
        <w:wordWrap/>
        <w:overflowPunct/>
        <w:topLinePunct w:val="0"/>
        <w:autoSpaceDE/>
        <w:autoSpaceDN/>
        <w:bidi w:val="0"/>
        <w:snapToGrid w:val="0"/>
        <w:spacing w:line="360" w:lineRule="exact"/>
        <w:ind w:firstLine="420" w:firstLineChars="200"/>
        <w:textAlignment w:val="auto"/>
        <w:rPr>
          <w:rFonts w:hint="eastAsia" w:ascii="宋体" w:hAnsi="宋体"/>
          <w:color w:val="auto"/>
          <w:szCs w:val="21"/>
        </w:rPr>
      </w:pPr>
      <w:r>
        <w:rPr>
          <w:rFonts w:hint="eastAsia" w:ascii="宋体" w:hAnsi="宋体"/>
          <w:color w:val="auto"/>
          <w:szCs w:val="21"/>
        </w:rPr>
        <w:t>（1）材料、工程设备的暂估价</w:t>
      </w:r>
    </w:p>
    <w:p>
      <w:pPr>
        <w:pageBreakBefore w:val="0"/>
        <w:widowControl w:val="0"/>
        <w:kinsoku/>
        <w:wordWrap/>
        <w:overflowPunct/>
        <w:topLinePunct w:val="0"/>
        <w:autoSpaceDE/>
        <w:autoSpaceDN/>
        <w:bidi w:val="0"/>
        <w:snapToGrid w:val="0"/>
        <w:spacing w:line="360" w:lineRule="exact"/>
        <w:ind w:firstLine="420" w:firstLineChars="200"/>
        <w:textAlignment w:val="auto"/>
        <w:rPr>
          <w:rFonts w:hint="eastAsia" w:ascii="宋体" w:hAnsi="宋体"/>
          <w:color w:val="auto"/>
          <w:szCs w:val="21"/>
        </w:rPr>
      </w:pPr>
      <w:r>
        <w:rPr>
          <w:rFonts w:hint="eastAsia" w:ascii="宋体" w:hAnsi="宋体"/>
          <w:color w:val="auto"/>
          <w:szCs w:val="21"/>
        </w:rPr>
        <w:t>材料、工程设备的暂估价仅指此类材料、工程设备本身运至指定地点的价格，不包括这些材料、工程设备的安装、安装</w:t>
      </w:r>
      <w:r>
        <w:rPr>
          <w:rFonts w:hint="eastAsia" w:ascii="宋体" w:hAnsi="宋体"/>
          <w:color w:val="auto"/>
          <w:szCs w:val="21"/>
          <w:lang w:eastAsia="zh-CN"/>
        </w:rPr>
        <w:t>所必需的</w:t>
      </w:r>
      <w:r>
        <w:rPr>
          <w:rFonts w:hint="eastAsia" w:ascii="宋体" w:hAnsi="宋体"/>
          <w:color w:val="auto"/>
          <w:szCs w:val="21"/>
        </w:rPr>
        <w:t>辅助材料、驻厂监造以及发生在现场内的验收、存储、保管、开箱、二次搬运、从存放地点运至安装地点以及其他任何必要的辅助工作所发生的费用，这些费用应包括在各相应子目的投标价格中。</w:t>
      </w:r>
    </w:p>
    <w:p>
      <w:pPr>
        <w:pageBreakBefore w:val="0"/>
        <w:widowControl w:val="0"/>
        <w:kinsoku/>
        <w:wordWrap/>
        <w:overflowPunct/>
        <w:topLinePunct w:val="0"/>
        <w:autoSpaceDE/>
        <w:autoSpaceDN/>
        <w:bidi w:val="0"/>
        <w:snapToGrid w:val="0"/>
        <w:spacing w:line="360" w:lineRule="exact"/>
        <w:ind w:firstLine="420" w:firstLineChars="200"/>
        <w:textAlignment w:val="auto"/>
        <w:rPr>
          <w:rFonts w:hint="eastAsia" w:ascii="宋体" w:hAnsi="宋体"/>
          <w:color w:val="auto"/>
          <w:szCs w:val="21"/>
        </w:rPr>
      </w:pPr>
      <w:r>
        <w:rPr>
          <w:rFonts w:hint="eastAsia" w:ascii="宋体" w:hAnsi="宋体"/>
          <w:color w:val="auto"/>
          <w:szCs w:val="21"/>
        </w:rPr>
        <w:t>（2）专业工程暂估价</w:t>
      </w:r>
    </w:p>
    <w:p>
      <w:pPr>
        <w:pageBreakBefore w:val="0"/>
        <w:widowControl w:val="0"/>
        <w:kinsoku/>
        <w:wordWrap/>
        <w:overflowPunct/>
        <w:topLinePunct w:val="0"/>
        <w:autoSpaceDE/>
        <w:autoSpaceDN/>
        <w:bidi w:val="0"/>
        <w:snapToGrid w:val="0"/>
        <w:spacing w:line="360" w:lineRule="exact"/>
        <w:ind w:firstLine="420" w:firstLineChars="200"/>
        <w:textAlignment w:val="auto"/>
        <w:rPr>
          <w:rFonts w:hint="eastAsia" w:ascii="宋体" w:hAnsi="宋体"/>
          <w:color w:val="auto"/>
          <w:szCs w:val="21"/>
        </w:rPr>
      </w:pPr>
      <w:r>
        <w:rPr>
          <w:rFonts w:hint="eastAsia" w:ascii="宋体" w:hAnsi="宋体"/>
          <w:color w:val="auto"/>
          <w:szCs w:val="21"/>
        </w:rPr>
        <w:t>专业工程暂估价是指分包人实施专业分包工程所有供应、安装、完工、调试、修复缺陷等全部工作的费用，包括管理费和利润，不包括规费和税金。</w:t>
      </w:r>
    </w:p>
    <w:bookmarkEnd w:id="509"/>
    <w:bookmarkEnd w:id="525"/>
    <w:bookmarkEnd w:id="526"/>
    <w:bookmarkEnd w:id="527"/>
    <w:bookmarkEnd w:id="528"/>
    <w:bookmarkEnd w:id="529"/>
    <w:bookmarkEnd w:id="530"/>
    <w:p>
      <w:pPr>
        <w:pageBreakBefore w:val="0"/>
        <w:widowControl w:val="0"/>
        <w:kinsoku/>
        <w:wordWrap/>
        <w:overflowPunct/>
        <w:topLinePunct w:val="0"/>
        <w:autoSpaceDE/>
        <w:autoSpaceDN/>
        <w:bidi w:val="0"/>
        <w:snapToGrid w:val="0"/>
        <w:spacing w:line="360" w:lineRule="exact"/>
        <w:textAlignment w:val="auto"/>
        <w:rPr>
          <w:rFonts w:ascii="宋体" w:hAnsi="宋体"/>
          <w:b/>
          <w:color w:val="auto"/>
          <w:szCs w:val="21"/>
        </w:rPr>
      </w:pPr>
      <w:r>
        <w:rPr>
          <w:rFonts w:hint="eastAsia" w:ascii="宋体" w:hAnsi="宋体"/>
          <w:b/>
          <w:color w:val="auto"/>
          <w:szCs w:val="21"/>
        </w:rPr>
        <w:t>3.</w:t>
      </w:r>
      <w:r>
        <w:rPr>
          <w:rFonts w:hint="eastAsia" w:ascii="宋体" w:hAnsi="宋体"/>
          <w:b/>
          <w:color w:val="auto"/>
          <w:sz w:val="24"/>
          <w:szCs w:val="24"/>
        </w:rPr>
        <w:t xml:space="preserve"> </w:t>
      </w:r>
      <w:r>
        <w:rPr>
          <w:rFonts w:hint="eastAsia" w:ascii="宋体" w:hAnsi="宋体"/>
          <w:b/>
          <w:color w:val="auto"/>
          <w:szCs w:val="21"/>
        </w:rPr>
        <w:t>工程量清单</w:t>
      </w:r>
    </w:p>
    <w:p>
      <w:pPr>
        <w:pageBreakBefore w:val="0"/>
        <w:widowControl w:val="0"/>
        <w:kinsoku/>
        <w:wordWrap/>
        <w:overflowPunct/>
        <w:topLinePunct w:val="0"/>
        <w:autoSpaceDE/>
        <w:autoSpaceDN/>
        <w:bidi w:val="0"/>
        <w:spacing w:line="360" w:lineRule="exact"/>
        <w:ind w:firstLine="525" w:firstLineChars="250"/>
        <w:textAlignment w:val="auto"/>
        <w:rPr>
          <w:rFonts w:hint="eastAsia" w:ascii="宋体" w:hAnsi="宋体" w:eastAsia="宋体"/>
          <w:color w:val="auto"/>
          <w:kern w:val="0"/>
          <w:szCs w:val="21"/>
          <w:lang w:eastAsia="zh-CN"/>
        </w:rPr>
      </w:pPr>
      <w:r>
        <w:rPr>
          <w:rFonts w:hint="eastAsia" w:ascii="宋体" w:hAnsi="宋体"/>
          <w:color w:val="auto"/>
          <w:kern w:val="0"/>
          <w:szCs w:val="21"/>
        </w:rPr>
        <w:t>本工程工程量清单由投标人自行在</w:t>
      </w:r>
      <w:r>
        <w:rPr>
          <w:rFonts w:hint="eastAsia" w:ascii="宋体" w:hAnsi="宋体" w:cs="宋体"/>
          <w:snapToGrid w:val="0"/>
          <w:color w:val="auto"/>
          <w:kern w:val="0"/>
          <w:szCs w:val="21"/>
          <w:lang w:eastAsia="zh-CN"/>
        </w:rPr>
        <w:t>重庆共赢工程项目管理咨询有限公司（重庆市铜梁区法建东路310号21-2-1）</w:t>
      </w:r>
      <w:r>
        <w:rPr>
          <w:rFonts w:hint="eastAsia" w:ascii="宋体" w:hAnsi="宋体" w:cs="宋体"/>
          <w:snapToGrid w:val="0"/>
          <w:color w:val="auto"/>
          <w:kern w:val="0"/>
          <w:szCs w:val="21"/>
          <w:lang w:val="en-US" w:eastAsia="zh-CN"/>
        </w:rPr>
        <w:t>免费领取</w:t>
      </w:r>
      <w:r>
        <w:rPr>
          <w:rFonts w:hint="eastAsia" w:ascii="宋体" w:hAnsi="宋体" w:cs="宋体"/>
          <w:snapToGrid w:val="0"/>
          <w:color w:val="auto"/>
          <w:kern w:val="0"/>
          <w:szCs w:val="21"/>
          <w:lang w:eastAsia="zh-CN"/>
        </w:rPr>
        <w:t>。</w:t>
      </w:r>
    </w:p>
    <w:p>
      <w:pPr>
        <w:pageBreakBefore w:val="0"/>
        <w:widowControl w:val="0"/>
        <w:kinsoku/>
        <w:wordWrap/>
        <w:overflowPunct/>
        <w:topLinePunct w:val="0"/>
        <w:autoSpaceDE/>
        <w:autoSpaceDN/>
        <w:bidi w:val="0"/>
        <w:spacing w:line="360" w:lineRule="exact"/>
        <w:textAlignment w:val="auto"/>
        <w:rPr>
          <w:rFonts w:hint="eastAsia"/>
          <w:color w:val="auto"/>
        </w:rPr>
      </w:pPr>
    </w:p>
    <w:p>
      <w:pPr>
        <w:pageBreakBefore w:val="0"/>
        <w:widowControl w:val="0"/>
        <w:kinsoku/>
        <w:wordWrap/>
        <w:overflowPunct/>
        <w:topLinePunct w:val="0"/>
        <w:autoSpaceDE/>
        <w:autoSpaceDN/>
        <w:bidi w:val="0"/>
        <w:spacing w:line="360" w:lineRule="exact"/>
        <w:textAlignment w:val="auto"/>
        <w:rPr>
          <w:rFonts w:hint="eastAsia"/>
          <w:color w:val="auto"/>
        </w:rPr>
      </w:pPr>
    </w:p>
    <w:p>
      <w:pPr>
        <w:pStyle w:val="5"/>
        <w:pageBreakBefore w:val="0"/>
        <w:widowControl w:val="0"/>
        <w:kinsoku/>
        <w:wordWrap/>
        <w:overflowPunct/>
        <w:topLinePunct w:val="0"/>
        <w:autoSpaceDE/>
        <w:autoSpaceDN/>
        <w:bidi w:val="0"/>
        <w:adjustRightInd/>
        <w:snapToGrid/>
        <w:spacing w:before="0" w:beforeLines="0" w:after="0" w:afterLines="0" w:line="500" w:lineRule="exact"/>
        <w:jc w:val="center"/>
        <w:textAlignment w:val="auto"/>
        <w:rPr>
          <w:rFonts w:hint="eastAsia"/>
          <w:color w:val="auto"/>
          <w:sz w:val="36"/>
          <w:szCs w:val="36"/>
        </w:rPr>
      </w:pPr>
      <w:bookmarkStart w:id="531" w:name="招标文件07章技术标准和要求"/>
      <w:bookmarkEnd w:id="531"/>
      <w:bookmarkStart w:id="532" w:name="_Hlt269644941"/>
      <w:bookmarkEnd w:id="532"/>
      <w:bookmarkStart w:id="533" w:name="_Toc452058740"/>
      <w:bookmarkStart w:id="534" w:name="_Toc513492492"/>
      <w:r>
        <w:rPr>
          <w:rFonts w:hint="eastAsia"/>
          <w:color w:val="auto"/>
          <w:sz w:val="36"/>
          <w:szCs w:val="36"/>
        </w:rPr>
        <w:br w:type="page"/>
      </w:r>
      <w:r>
        <w:rPr>
          <w:rFonts w:hint="eastAsia"/>
          <w:color w:val="auto"/>
          <w:sz w:val="36"/>
          <w:szCs w:val="36"/>
        </w:rPr>
        <w:t>第六章  图纸</w:t>
      </w:r>
      <w:bookmarkEnd w:id="533"/>
      <w:bookmarkEnd w:id="534"/>
    </w:p>
    <w:p>
      <w:pPr>
        <w:rPr>
          <w:rFonts w:hint="eastAsia"/>
          <w:color w:val="auto"/>
        </w:rPr>
      </w:pPr>
    </w:p>
    <w:p>
      <w:pPr>
        <w:jc w:val="center"/>
        <w:rPr>
          <w:rFonts w:hint="eastAsia" w:eastAsia="黑体"/>
          <w:b/>
          <w:color w:val="auto"/>
          <w:sz w:val="44"/>
          <w:szCs w:val="44"/>
        </w:rPr>
      </w:pPr>
      <w:r>
        <w:rPr>
          <w:rFonts w:hint="eastAsia" w:ascii="宋体" w:hAnsi="宋体"/>
          <w:color w:val="auto"/>
          <w:kern w:val="0"/>
          <w:szCs w:val="21"/>
        </w:rPr>
        <w:t>由投标人自行在</w:t>
      </w:r>
      <w:r>
        <w:rPr>
          <w:rFonts w:hint="eastAsia" w:ascii="宋体" w:hAnsi="宋体" w:cs="宋体"/>
          <w:snapToGrid w:val="0"/>
          <w:color w:val="auto"/>
          <w:kern w:val="0"/>
          <w:szCs w:val="21"/>
          <w:lang w:eastAsia="zh-CN"/>
        </w:rPr>
        <w:t>重庆安居古城网站（http://www.anjugc.cn/index.htm）上下载。</w:t>
      </w:r>
    </w:p>
    <w:p>
      <w:pPr>
        <w:jc w:val="center"/>
        <w:rPr>
          <w:rFonts w:hint="eastAsia" w:eastAsia="黑体"/>
          <w:b/>
          <w:color w:val="auto"/>
          <w:sz w:val="44"/>
          <w:szCs w:val="44"/>
        </w:rPr>
      </w:pPr>
    </w:p>
    <w:p>
      <w:pPr>
        <w:jc w:val="center"/>
        <w:rPr>
          <w:rFonts w:hint="eastAsia" w:eastAsia="黑体"/>
          <w:b/>
          <w:color w:val="auto"/>
          <w:sz w:val="44"/>
          <w:szCs w:val="44"/>
        </w:rPr>
      </w:pPr>
    </w:p>
    <w:p>
      <w:pPr>
        <w:jc w:val="center"/>
        <w:rPr>
          <w:rFonts w:hint="eastAsia" w:eastAsia="黑体"/>
          <w:b/>
          <w:color w:val="auto"/>
          <w:sz w:val="44"/>
          <w:szCs w:val="44"/>
        </w:rPr>
      </w:pPr>
    </w:p>
    <w:p>
      <w:pPr>
        <w:jc w:val="center"/>
        <w:rPr>
          <w:rFonts w:hint="eastAsia" w:eastAsia="黑体"/>
          <w:b/>
          <w:color w:val="auto"/>
          <w:sz w:val="44"/>
          <w:szCs w:val="44"/>
        </w:rPr>
      </w:pPr>
    </w:p>
    <w:p>
      <w:pPr>
        <w:jc w:val="center"/>
        <w:rPr>
          <w:rFonts w:hint="eastAsia" w:eastAsia="黑体"/>
          <w:b/>
          <w:color w:val="auto"/>
          <w:sz w:val="44"/>
          <w:szCs w:val="44"/>
        </w:rPr>
      </w:pPr>
    </w:p>
    <w:p>
      <w:pPr>
        <w:jc w:val="center"/>
        <w:rPr>
          <w:rFonts w:hint="eastAsia" w:eastAsia="黑体"/>
          <w:b/>
          <w:color w:val="auto"/>
          <w:sz w:val="44"/>
          <w:szCs w:val="44"/>
        </w:rPr>
      </w:pPr>
    </w:p>
    <w:p>
      <w:pPr>
        <w:jc w:val="center"/>
        <w:rPr>
          <w:rFonts w:hint="eastAsia" w:eastAsia="黑体"/>
          <w:b/>
          <w:color w:val="auto"/>
          <w:sz w:val="44"/>
          <w:szCs w:val="44"/>
        </w:rPr>
      </w:pPr>
    </w:p>
    <w:p>
      <w:pPr>
        <w:jc w:val="center"/>
        <w:rPr>
          <w:rFonts w:hint="eastAsia" w:eastAsia="黑体"/>
          <w:b/>
          <w:color w:val="auto"/>
          <w:sz w:val="44"/>
          <w:szCs w:val="44"/>
        </w:rPr>
      </w:pPr>
    </w:p>
    <w:p>
      <w:pPr>
        <w:jc w:val="center"/>
        <w:rPr>
          <w:rFonts w:hint="eastAsia" w:eastAsia="黑体"/>
          <w:b/>
          <w:color w:val="auto"/>
          <w:sz w:val="44"/>
          <w:szCs w:val="44"/>
        </w:rPr>
      </w:pPr>
    </w:p>
    <w:p>
      <w:pPr>
        <w:jc w:val="center"/>
        <w:rPr>
          <w:rFonts w:hint="eastAsia" w:eastAsia="黑体"/>
          <w:b/>
          <w:color w:val="auto"/>
          <w:sz w:val="44"/>
          <w:szCs w:val="44"/>
        </w:rPr>
      </w:pPr>
    </w:p>
    <w:p>
      <w:pPr>
        <w:jc w:val="center"/>
        <w:rPr>
          <w:rFonts w:hint="eastAsia" w:eastAsia="黑体"/>
          <w:b/>
          <w:color w:val="auto"/>
          <w:sz w:val="44"/>
          <w:szCs w:val="44"/>
        </w:rPr>
      </w:pPr>
    </w:p>
    <w:p>
      <w:pPr>
        <w:jc w:val="center"/>
        <w:rPr>
          <w:rFonts w:hint="eastAsia" w:eastAsia="黑体"/>
          <w:b/>
          <w:color w:val="auto"/>
          <w:sz w:val="44"/>
          <w:szCs w:val="44"/>
        </w:rPr>
      </w:pPr>
    </w:p>
    <w:p>
      <w:pPr>
        <w:jc w:val="center"/>
        <w:rPr>
          <w:rFonts w:hint="eastAsia" w:eastAsia="黑体"/>
          <w:b/>
          <w:color w:val="auto"/>
          <w:sz w:val="44"/>
          <w:szCs w:val="44"/>
        </w:rPr>
      </w:pPr>
    </w:p>
    <w:p>
      <w:pPr>
        <w:jc w:val="center"/>
        <w:rPr>
          <w:rFonts w:hint="eastAsia" w:eastAsia="黑体"/>
          <w:b/>
          <w:color w:val="auto"/>
          <w:sz w:val="44"/>
          <w:szCs w:val="44"/>
        </w:rPr>
      </w:pPr>
    </w:p>
    <w:p>
      <w:pPr>
        <w:jc w:val="center"/>
        <w:rPr>
          <w:rFonts w:hint="eastAsia" w:eastAsia="黑体"/>
          <w:b/>
          <w:color w:val="auto"/>
          <w:sz w:val="44"/>
          <w:szCs w:val="44"/>
        </w:rPr>
      </w:pPr>
    </w:p>
    <w:p>
      <w:pPr>
        <w:jc w:val="center"/>
        <w:rPr>
          <w:rFonts w:hint="eastAsia" w:eastAsia="黑体"/>
          <w:b/>
          <w:color w:val="auto"/>
          <w:sz w:val="44"/>
          <w:szCs w:val="44"/>
        </w:rPr>
      </w:pPr>
    </w:p>
    <w:p>
      <w:pPr>
        <w:jc w:val="center"/>
        <w:rPr>
          <w:rFonts w:hint="eastAsia" w:eastAsia="黑体"/>
          <w:b/>
          <w:color w:val="auto"/>
          <w:sz w:val="44"/>
          <w:szCs w:val="44"/>
        </w:rPr>
      </w:pPr>
    </w:p>
    <w:p>
      <w:pPr>
        <w:jc w:val="center"/>
        <w:rPr>
          <w:rFonts w:hint="eastAsia" w:eastAsia="黑体"/>
          <w:b/>
          <w:color w:val="auto"/>
          <w:sz w:val="44"/>
          <w:szCs w:val="44"/>
        </w:rPr>
      </w:pPr>
    </w:p>
    <w:p>
      <w:pPr>
        <w:jc w:val="center"/>
        <w:rPr>
          <w:rFonts w:hint="eastAsia" w:eastAsia="黑体"/>
          <w:b/>
          <w:color w:val="auto"/>
          <w:sz w:val="44"/>
          <w:szCs w:val="44"/>
        </w:rPr>
      </w:pPr>
    </w:p>
    <w:p>
      <w:pPr>
        <w:jc w:val="center"/>
        <w:rPr>
          <w:rFonts w:hint="eastAsia" w:eastAsia="黑体"/>
          <w:b/>
          <w:color w:val="auto"/>
          <w:sz w:val="44"/>
          <w:szCs w:val="44"/>
        </w:rPr>
      </w:pPr>
    </w:p>
    <w:p>
      <w:pPr>
        <w:jc w:val="center"/>
        <w:rPr>
          <w:rFonts w:hint="eastAsia" w:eastAsia="黑体"/>
          <w:b/>
          <w:color w:val="auto"/>
          <w:sz w:val="44"/>
          <w:szCs w:val="44"/>
        </w:rPr>
      </w:pPr>
    </w:p>
    <w:p>
      <w:pPr>
        <w:jc w:val="center"/>
        <w:rPr>
          <w:rFonts w:hint="eastAsia" w:eastAsia="黑体"/>
          <w:b/>
          <w:color w:val="auto"/>
          <w:sz w:val="44"/>
          <w:szCs w:val="44"/>
        </w:rPr>
      </w:pPr>
    </w:p>
    <w:p>
      <w:pPr>
        <w:jc w:val="center"/>
        <w:rPr>
          <w:rFonts w:hint="eastAsia" w:eastAsia="黑体"/>
          <w:b/>
          <w:color w:val="auto"/>
          <w:sz w:val="44"/>
          <w:szCs w:val="44"/>
        </w:rPr>
      </w:pPr>
    </w:p>
    <w:p>
      <w:pPr>
        <w:jc w:val="center"/>
        <w:rPr>
          <w:rFonts w:hint="eastAsia" w:eastAsia="黑体"/>
          <w:b/>
          <w:color w:val="auto"/>
          <w:sz w:val="44"/>
          <w:szCs w:val="44"/>
        </w:rPr>
      </w:pPr>
    </w:p>
    <w:p>
      <w:pPr>
        <w:pStyle w:val="5"/>
        <w:spacing w:line="360" w:lineRule="auto"/>
        <w:jc w:val="center"/>
        <w:rPr>
          <w:rFonts w:ascii="宋体" w:hAnsi="宋体"/>
          <w:sz w:val="32"/>
          <w:szCs w:val="32"/>
        </w:rPr>
      </w:pPr>
      <w:bookmarkStart w:id="535" w:name="_Toc452058741"/>
      <w:bookmarkStart w:id="536" w:name="_Toc513492493"/>
      <w:r>
        <w:rPr>
          <w:rFonts w:hint="eastAsia"/>
          <w:color w:val="auto"/>
          <w:sz w:val="36"/>
          <w:szCs w:val="36"/>
        </w:rPr>
        <w:br w:type="page"/>
      </w:r>
      <w:r>
        <w:rPr>
          <w:rFonts w:hint="eastAsia"/>
          <w:color w:val="auto"/>
          <w:sz w:val="36"/>
          <w:szCs w:val="36"/>
        </w:rPr>
        <w:t>第七</w:t>
      </w:r>
      <w:r>
        <w:rPr>
          <w:rFonts w:hint="eastAsia" w:ascii="Times New Roman" w:hAnsi="Times New Roman" w:cs="Times New Roman"/>
          <w:color w:val="auto"/>
          <w:sz w:val="36"/>
          <w:szCs w:val="36"/>
        </w:rPr>
        <w:t xml:space="preserve">章  </w:t>
      </w:r>
      <w:bookmarkEnd w:id="535"/>
      <w:bookmarkEnd w:id="536"/>
      <w:r>
        <w:rPr>
          <w:rFonts w:hint="eastAsia" w:ascii="Times New Roman" w:hAnsi="Times New Roman" w:cs="Times New Roman"/>
          <w:color w:val="auto"/>
          <w:sz w:val="36"/>
          <w:szCs w:val="36"/>
        </w:rPr>
        <w:t>技术标准和要求</w:t>
      </w:r>
      <w:bookmarkStart w:id="537" w:name="招标文件07章技术标准和要求01"/>
      <w:bookmarkEnd w:id="537"/>
      <w:bookmarkStart w:id="538" w:name="_Toc287620808"/>
      <w:bookmarkStart w:id="539" w:name="_Toc430530524"/>
    </w:p>
    <w:bookmarkEnd w:id="538"/>
    <w:bookmarkEnd w:id="539"/>
    <w:p>
      <w:pPr>
        <w:spacing w:line="360" w:lineRule="auto"/>
        <w:jc w:val="center"/>
        <w:rPr>
          <w:rStyle w:val="60"/>
        </w:rPr>
      </w:pPr>
      <w:r>
        <w:rPr>
          <w:rFonts w:ascii="宋体" w:hAnsi="宋体"/>
          <w:szCs w:val="21"/>
        </w:rPr>
        <w:t>由招标人根据招标项目的实际情况编写</w:t>
      </w:r>
      <w:r>
        <w:rPr>
          <w:rFonts w:hint="eastAsia" w:ascii="宋体" w:hAnsi="宋体"/>
          <w:szCs w:val="21"/>
        </w:rPr>
        <w:t>（如有）。</w:t>
      </w:r>
    </w:p>
    <w:p>
      <w:pPr>
        <w:jc w:val="center"/>
        <w:rPr>
          <w:rFonts w:hint="eastAsia" w:ascii="Times New Roman" w:hAnsi="Times New Roman" w:eastAsia="宋体" w:cs="Times New Roman"/>
          <w:b/>
          <w:bCs/>
          <w:color w:val="auto"/>
          <w:kern w:val="44"/>
          <w:sz w:val="36"/>
          <w:szCs w:val="36"/>
          <w:lang w:val="en-US" w:eastAsia="zh-CN" w:bidi="ar-SA"/>
        </w:rPr>
      </w:pPr>
      <w:r>
        <w:rPr>
          <w:rFonts w:ascii="宋体" w:hAnsi="宋体"/>
        </w:rPr>
        <w:br w:type="page"/>
      </w:r>
      <w:bookmarkStart w:id="540" w:name="_Toc534185829"/>
      <w:bookmarkStart w:id="541" w:name="_Toc4492"/>
      <w:bookmarkStart w:id="542" w:name="_Toc430530528"/>
      <w:bookmarkStart w:id="543" w:name="_Toc509218852"/>
      <w:r>
        <w:rPr>
          <w:rFonts w:hint="eastAsia" w:ascii="Times New Roman" w:hAnsi="Times New Roman" w:eastAsia="宋体" w:cs="Times New Roman"/>
          <w:b/>
          <w:bCs/>
          <w:color w:val="auto"/>
          <w:kern w:val="44"/>
          <w:sz w:val="36"/>
          <w:szCs w:val="36"/>
          <w:lang w:val="en-US" w:eastAsia="zh-CN" w:bidi="ar-SA"/>
        </w:rPr>
        <w:t>第八章  投标文件格式</w:t>
      </w:r>
      <w:bookmarkEnd w:id="540"/>
      <w:bookmarkEnd w:id="541"/>
      <w:bookmarkEnd w:id="542"/>
      <w:bookmarkEnd w:id="543"/>
    </w:p>
    <w:p>
      <w:pPr>
        <w:spacing w:line="360" w:lineRule="auto"/>
        <w:rPr>
          <w:rFonts w:ascii="宋体" w:hAnsi="宋体"/>
          <w:sz w:val="32"/>
          <w:szCs w:val="32"/>
        </w:rPr>
      </w:pPr>
    </w:p>
    <w:p>
      <w:pPr>
        <w:spacing w:line="360" w:lineRule="auto"/>
        <w:jc w:val="center"/>
        <w:rPr>
          <w:rFonts w:ascii="宋体" w:hAnsi="宋体"/>
          <w:b/>
          <w:bCs/>
          <w:sz w:val="32"/>
          <w:szCs w:val="32"/>
        </w:rPr>
      </w:pPr>
      <w:r>
        <w:rPr>
          <w:rFonts w:ascii="宋体" w:hAnsi="宋体"/>
          <w:szCs w:val="20"/>
        </w:rPr>
        <w:br w:type="page"/>
      </w:r>
      <w:bookmarkStart w:id="544" w:name="_Toc224103493"/>
      <w:r>
        <w:rPr>
          <w:rFonts w:hint="eastAsia" w:ascii="宋体" w:hAnsi="宋体"/>
          <w:b/>
          <w:bCs/>
          <w:sz w:val="32"/>
          <w:szCs w:val="32"/>
        </w:rPr>
        <w:t>目  录</w:t>
      </w:r>
      <w:bookmarkEnd w:id="544"/>
    </w:p>
    <w:p>
      <w:pPr>
        <w:spacing w:line="360" w:lineRule="auto"/>
        <w:jc w:val="center"/>
        <w:rPr>
          <w:rFonts w:ascii="宋体" w:hAnsi="宋体"/>
          <w:szCs w:val="20"/>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ascii="宋体" w:hAnsi="宋体"/>
          <w:b/>
          <w:sz w:val="24"/>
          <w:szCs w:val="24"/>
        </w:rPr>
      </w:pPr>
      <w:r>
        <w:rPr>
          <w:rFonts w:hint="eastAsia" w:ascii="宋体" w:hAnsi="宋体"/>
          <w:b/>
          <w:sz w:val="24"/>
          <w:szCs w:val="24"/>
        </w:rPr>
        <w:t>一</w:t>
      </w:r>
      <w:r>
        <w:rPr>
          <w:rFonts w:ascii="宋体" w:hAnsi="宋体"/>
          <w:b/>
          <w:sz w:val="24"/>
          <w:szCs w:val="24"/>
        </w:rPr>
        <w:t>、投标函部分</w:t>
      </w:r>
    </w:p>
    <w:p>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ascii="宋体" w:hAnsi="宋体"/>
          <w:sz w:val="24"/>
          <w:szCs w:val="24"/>
        </w:rPr>
      </w:pPr>
      <w:r>
        <w:rPr>
          <w:rFonts w:ascii="宋体" w:hAnsi="宋体"/>
          <w:sz w:val="24"/>
          <w:szCs w:val="24"/>
        </w:rPr>
        <w:t>（一）投标函</w:t>
      </w:r>
    </w:p>
    <w:p>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（二）投标函附录</w:t>
      </w:r>
    </w:p>
    <w:p>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（三）法定代表人身份证明或附有法定代表人身份证明的授权委托书</w:t>
      </w:r>
    </w:p>
    <w:p>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（四）低价风险担保提交承诺书</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ascii="宋体" w:hAnsi="宋体"/>
          <w:b/>
          <w:sz w:val="24"/>
          <w:szCs w:val="24"/>
        </w:rPr>
      </w:pPr>
      <w:r>
        <w:rPr>
          <w:rFonts w:hint="eastAsia" w:ascii="宋体" w:hAnsi="宋体"/>
          <w:b/>
          <w:sz w:val="24"/>
          <w:szCs w:val="24"/>
        </w:rPr>
        <w:t>二</w:t>
      </w:r>
      <w:r>
        <w:rPr>
          <w:rFonts w:ascii="宋体" w:hAnsi="宋体"/>
          <w:b/>
          <w:sz w:val="24"/>
          <w:szCs w:val="24"/>
        </w:rPr>
        <w:t>、</w:t>
      </w:r>
      <w:r>
        <w:rPr>
          <w:rFonts w:hint="eastAsia" w:ascii="宋体" w:hAnsi="宋体"/>
          <w:b/>
          <w:sz w:val="24"/>
          <w:szCs w:val="24"/>
        </w:rPr>
        <w:t>经济</w:t>
      </w:r>
      <w:r>
        <w:rPr>
          <w:rFonts w:ascii="宋体" w:hAnsi="宋体"/>
          <w:b/>
          <w:sz w:val="24"/>
          <w:szCs w:val="24"/>
        </w:rPr>
        <w:t>部分</w:t>
      </w:r>
    </w:p>
    <w:p>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ascii="宋体" w:hAnsi="宋体"/>
          <w:sz w:val="24"/>
          <w:szCs w:val="24"/>
        </w:rPr>
      </w:pPr>
      <w:r>
        <w:rPr>
          <w:rFonts w:ascii="宋体" w:hAnsi="宋体"/>
          <w:sz w:val="24"/>
          <w:szCs w:val="24"/>
        </w:rPr>
        <w:t>已标价工程量清单</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ascii="宋体" w:hAnsi="宋体"/>
          <w:b/>
          <w:sz w:val="24"/>
          <w:szCs w:val="24"/>
        </w:rPr>
      </w:pPr>
      <w:r>
        <w:rPr>
          <w:rFonts w:hint="eastAsia" w:ascii="宋体" w:hAnsi="宋体"/>
          <w:b/>
          <w:sz w:val="24"/>
          <w:szCs w:val="24"/>
        </w:rPr>
        <w:t>三</w:t>
      </w:r>
      <w:r>
        <w:rPr>
          <w:rFonts w:ascii="宋体" w:hAnsi="宋体"/>
          <w:b/>
          <w:sz w:val="24"/>
          <w:szCs w:val="24"/>
        </w:rPr>
        <w:t>、</w:t>
      </w:r>
      <w:r>
        <w:rPr>
          <w:rFonts w:hint="eastAsia" w:ascii="宋体" w:hAnsi="宋体"/>
          <w:b/>
          <w:sz w:val="24"/>
          <w:szCs w:val="24"/>
        </w:rPr>
        <w:t>资格审查部分</w:t>
      </w:r>
    </w:p>
    <w:p>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ascii="宋体" w:hAnsi="宋体"/>
          <w:sz w:val="24"/>
          <w:szCs w:val="24"/>
        </w:rPr>
      </w:pPr>
      <w:r>
        <w:rPr>
          <w:rFonts w:ascii="宋体" w:hAnsi="宋体"/>
          <w:sz w:val="24"/>
          <w:szCs w:val="24"/>
        </w:rPr>
        <w:t>（一）</w:t>
      </w:r>
      <w:r>
        <w:rPr>
          <w:rFonts w:hint="eastAsia" w:ascii="宋体" w:hAnsi="宋体"/>
          <w:sz w:val="24"/>
          <w:szCs w:val="24"/>
        </w:rPr>
        <w:t>法定代表人身份证明或附有法定代表人身份证明的授权委托书</w:t>
      </w:r>
    </w:p>
    <w:p>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ascii="宋体" w:hAnsi="宋体"/>
          <w:sz w:val="24"/>
          <w:szCs w:val="24"/>
        </w:rPr>
      </w:pPr>
      <w:r>
        <w:rPr>
          <w:rFonts w:ascii="宋体" w:hAnsi="宋体"/>
          <w:sz w:val="24"/>
          <w:szCs w:val="24"/>
        </w:rPr>
        <w:t>（</w:t>
      </w:r>
      <w:r>
        <w:rPr>
          <w:rFonts w:hint="eastAsia" w:ascii="宋体" w:hAnsi="宋体"/>
          <w:sz w:val="24"/>
          <w:szCs w:val="24"/>
        </w:rPr>
        <w:t>二</w:t>
      </w:r>
      <w:r>
        <w:rPr>
          <w:rFonts w:ascii="宋体" w:hAnsi="宋体"/>
          <w:sz w:val="24"/>
          <w:szCs w:val="24"/>
        </w:rPr>
        <w:t>）投标人基本情况表</w:t>
      </w:r>
    </w:p>
    <w:p>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ascii="宋体" w:hAnsi="宋体"/>
          <w:sz w:val="24"/>
          <w:szCs w:val="24"/>
        </w:rPr>
      </w:pPr>
      <w:r>
        <w:rPr>
          <w:rFonts w:ascii="宋体" w:hAnsi="宋体"/>
          <w:sz w:val="24"/>
          <w:szCs w:val="24"/>
        </w:rPr>
        <w:t>（</w:t>
      </w:r>
      <w:r>
        <w:rPr>
          <w:rFonts w:hint="eastAsia" w:ascii="宋体" w:hAnsi="宋体"/>
          <w:sz w:val="24"/>
          <w:szCs w:val="24"/>
        </w:rPr>
        <w:t>三</w:t>
      </w:r>
      <w:r>
        <w:rPr>
          <w:rFonts w:ascii="宋体" w:hAnsi="宋体"/>
          <w:sz w:val="24"/>
          <w:szCs w:val="24"/>
        </w:rPr>
        <w:t>）项目管理机构</w:t>
      </w:r>
    </w:p>
    <w:p>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ascii="宋体" w:hAnsi="宋体"/>
          <w:sz w:val="24"/>
          <w:szCs w:val="24"/>
        </w:rPr>
      </w:pPr>
      <w:r>
        <w:rPr>
          <w:rFonts w:ascii="宋体" w:hAnsi="宋体"/>
          <w:sz w:val="24"/>
          <w:szCs w:val="24"/>
        </w:rPr>
        <w:t>（</w:t>
      </w:r>
      <w:r>
        <w:rPr>
          <w:rFonts w:hint="eastAsia" w:ascii="宋体" w:hAnsi="宋体"/>
          <w:sz w:val="24"/>
          <w:szCs w:val="24"/>
          <w:lang w:val="en-US" w:eastAsia="zh-CN"/>
        </w:rPr>
        <w:t>四</w:t>
      </w:r>
      <w:r>
        <w:rPr>
          <w:rFonts w:ascii="宋体" w:hAnsi="宋体"/>
          <w:sz w:val="24"/>
          <w:szCs w:val="24"/>
        </w:rPr>
        <w:t>）</w:t>
      </w:r>
      <w:r>
        <w:rPr>
          <w:rFonts w:hint="eastAsia" w:ascii="宋体" w:hAnsi="宋体"/>
          <w:sz w:val="24"/>
          <w:szCs w:val="24"/>
        </w:rPr>
        <w:t>承诺</w:t>
      </w:r>
    </w:p>
    <w:p>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ascii="宋体" w:hAnsi="宋体"/>
          <w:sz w:val="24"/>
          <w:szCs w:val="24"/>
        </w:rPr>
      </w:pPr>
      <w:r>
        <w:rPr>
          <w:rFonts w:ascii="宋体" w:hAnsi="宋体"/>
          <w:sz w:val="24"/>
          <w:szCs w:val="24"/>
        </w:rPr>
        <w:t>（</w:t>
      </w:r>
      <w:r>
        <w:rPr>
          <w:rFonts w:hint="eastAsia" w:ascii="宋体" w:hAnsi="宋体"/>
          <w:sz w:val="24"/>
          <w:szCs w:val="24"/>
          <w:lang w:val="en-US" w:eastAsia="zh-CN"/>
        </w:rPr>
        <w:t>五</w:t>
      </w:r>
      <w:r>
        <w:rPr>
          <w:rFonts w:ascii="宋体" w:hAnsi="宋体"/>
          <w:sz w:val="24"/>
          <w:szCs w:val="24"/>
        </w:rPr>
        <w:t>）其他资料</w:t>
      </w:r>
    </w:p>
    <w:p>
      <w:pPr>
        <w:autoSpaceDE w:val="0"/>
        <w:autoSpaceDN w:val="0"/>
        <w:adjustRightInd w:val="0"/>
        <w:spacing w:line="276" w:lineRule="auto"/>
        <w:ind w:right="-23"/>
        <w:jc w:val="left"/>
        <w:rPr>
          <w:rFonts w:ascii="宋体" w:hAnsi="宋体"/>
          <w:kern w:val="0"/>
          <w:sz w:val="24"/>
          <w:szCs w:val="24"/>
          <w:u w:val="single"/>
        </w:rPr>
      </w:pPr>
      <w:r>
        <w:rPr>
          <w:rFonts w:ascii="宋体" w:hAnsi="宋体"/>
          <w:b/>
          <w:kern w:val="0"/>
          <w:sz w:val="24"/>
          <w:szCs w:val="24"/>
        </w:rPr>
        <w:br w:type="page"/>
      </w:r>
      <w:bookmarkStart w:id="545" w:name="_Toc224103494"/>
      <w:bookmarkStart w:id="546" w:name="_Toc277082642"/>
      <w:bookmarkStart w:id="547" w:name="_Toc287620813"/>
      <w:bookmarkStart w:id="548" w:name="_Toc430530529"/>
      <w:bookmarkStart w:id="549" w:name="_Toc287607866"/>
    </w:p>
    <w:p>
      <w:pPr>
        <w:pStyle w:val="6"/>
        <w:spacing w:line="360" w:lineRule="auto"/>
        <w:jc w:val="center"/>
        <w:rPr>
          <w:rFonts w:ascii="宋体" w:hAnsi="宋体"/>
          <w:b w:val="0"/>
          <w:bCs w:val="0"/>
          <w:sz w:val="32"/>
          <w:szCs w:val="32"/>
        </w:rPr>
      </w:pPr>
      <w:bookmarkStart w:id="550" w:name="_Toc21513"/>
      <w:bookmarkStart w:id="551" w:name="_Toc18666"/>
      <w:r>
        <w:rPr>
          <w:rFonts w:hint="eastAsia" w:ascii="宋体" w:hAnsi="宋体"/>
          <w:b w:val="0"/>
          <w:bCs w:val="0"/>
          <w:sz w:val="32"/>
          <w:szCs w:val="32"/>
        </w:rPr>
        <w:t>一、投标函部分</w:t>
      </w:r>
      <w:bookmarkEnd w:id="545"/>
      <w:bookmarkEnd w:id="546"/>
      <w:bookmarkEnd w:id="547"/>
      <w:bookmarkEnd w:id="548"/>
      <w:bookmarkEnd w:id="549"/>
      <w:bookmarkEnd w:id="550"/>
      <w:bookmarkEnd w:id="551"/>
    </w:p>
    <w:p>
      <w:pPr>
        <w:spacing w:line="360" w:lineRule="auto"/>
        <w:jc w:val="center"/>
        <w:rPr>
          <w:rFonts w:ascii="宋体" w:hAnsi="宋体"/>
          <w:kern w:val="0"/>
          <w:sz w:val="28"/>
          <w:szCs w:val="28"/>
          <w:u w:val="single"/>
        </w:rPr>
      </w:pPr>
    </w:p>
    <w:p>
      <w:pPr>
        <w:spacing w:line="360" w:lineRule="auto"/>
        <w:jc w:val="center"/>
        <w:rPr>
          <w:rFonts w:ascii="宋体" w:hAnsi="宋体"/>
          <w:kern w:val="0"/>
          <w:sz w:val="28"/>
          <w:szCs w:val="28"/>
          <w:u w:val="single"/>
        </w:rPr>
      </w:pPr>
    </w:p>
    <w:p>
      <w:pPr>
        <w:spacing w:line="360" w:lineRule="auto"/>
        <w:jc w:val="center"/>
        <w:rPr>
          <w:rFonts w:ascii="宋体" w:hAnsi="宋体"/>
          <w:kern w:val="0"/>
          <w:sz w:val="28"/>
          <w:szCs w:val="28"/>
          <w:u w:val="single"/>
        </w:rPr>
      </w:pPr>
    </w:p>
    <w:p>
      <w:pPr>
        <w:spacing w:line="360" w:lineRule="auto"/>
        <w:jc w:val="center"/>
        <w:rPr>
          <w:rFonts w:ascii="宋体" w:hAnsi="宋体"/>
          <w:kern w:val="0"/>
          <w:sz w:val="28"/>
          <w:szCs w:val="28"/>
          <w:u w:val="single"/>
        </w:rPr>
      </w:pPr>
    </w:p>
    <w:p>
      <w:pPr>
        <w:spacing w:line="360" w:lineRule="auto"/>
        <w:jc w:val="center"/>
        <w:rPr>
          <w:rFonts w:ascii="宋体" w:hAnsi="宋体"/>
          <w:kern w:val="0"/>
          <w:sz w:val="28"/>
          <w:szCs w:val="28"/>
          <w:u w:val="single"/>
        </w:rPr>
      </w:pPr>
    </w:p>
    <w:p>
      <w:pPr>
        <w:spacing w:line="360" w:lineRule="auto"/>
        <w:jc w:val="center"/>
        <w:rPr>
          <w:rFonts w:ascii="宋体" w:hAnsi="宋体"/>
          <w:kern w:val="0"/>
          <w:sz w:val="28"/>
          <w:szCs w:val="28"/>
          <w:u w:val="single"/>
        </w:rPr>
      </w:pPr>
    </w:p>
    <w:p>
      <w:pPr>
        <w:spacing w:line="360" w:lineRule="auto"/>
        <w:jc w:val="center"/>
        <w:rPr>
          <w:rFonts w:ascii="宋体" w:hAnsi="宋体"/>
          <w:kern w:val="0"/>
          <w:sz w:val="28"/>
          <w:szCs w:val="28"/>
          <w:u w:val="single"/>
        </w:rPr>
      </w:pPr>
    </w:p>
    <w:p>
      <w:pPr>
        <w:spacing w:line="360" w:lineRule="auto"/>
        <w:jc w:val="center"/>
        <w:rPr>
          <w:rFonts w:ascii="宋体" w:hAnsi="宋体"/>
          <w:kern w:val="0"/>
          <w:sz w:val="28"/>
          <w:szCs w:val="28"/>
          <w:u w:val="single"/>
        </w:rPr>
      </w:pPr>
    </w:p>
    <w:p>
      <w:pPr>
        <w:spacing w:line="360" w:lineRule="auto"/>
        <w:jc w:val="center"/>
        <w:rPr>
          <w:rFonts w:ascii="宋体" w:hAnsi="宋体"/>
          <w:kern w:val="0"/>
          <w:sz w:val="28"/>
          <w:szCs w:val="28"/>
          <w:u w:val="single"/>
        </w:rPr>
      </w:pPr>
    </w:p>
    <w:p>
      <w:pPr>
        <w:spacing w:line="360" w:lineRule="auto"/>
        <w:jc w:val="center"/>
        <w:rPr>
          <w:rFonts w:ascii="宋体" w:hAnsi="宋体"/>
          <w:kern w:val="0"/>
          <w:sz w:val="28"/>
          <w:szCs w:val="28"/>
          <w:u w:val="single"/>
        </w:rPr>
      </w:pPr>
    </w:p>
    <w:p>
      <w:pPr>
        <w:spacing w:line="360" w:lineRule="auto"/>
        <w:jc w:val="center"/>
        <w:rPr>
          <w:rFonts w:ascii="宋体" w:hAnsi="宋体"/>
          <w:kern w:val="0"/>
          <w:sz w:val="28"/>
          <w:szCs w:val="28"/>
          <w:u w:val="single"/>
        </w:rPr>
      </w:pPr>
    </w:p>
    <w:p>
      <w:pPr>
        <w:spacing w:line="360" w:lineRule="auto"/>
        <w:jc w:val="center"/>
        <w:rPr>
          <w:rFonts w:ascii="宋体" w:hAnsi="宋体"/>
          <w:kern w:val="0"/>
          <w:sz w:val="28"/>
          <w:szCs w:val="28"/>
          <w:u w:val="single"/>
        </w:rPr>
      </w:pPr>
    </w:p>
    <w:p>
      <w:pPr>
        <w:spacing w:line="360" w:lineRule="auto"/>
        <w:jc w:val="center"/>
        <w:rPr>
          <w:rFonts w:ascii="宋体" w:hAnsi="宋体"/>
          <w:kern w:val="0"/>
          <w:sz w:val="28"/>
          <w:szCs w:val="28"/>
          <w:u w:val="single"/>
        </w:rPr>
      </w:pPr>
    </w:p>
    <w:p>
      <w:pPr>
        <w:spacing w:line="360" w:lineRule="auto"/>
        <w:jc w:val="center"/>
        <w:rPr>
          <w:rFonts w:ascii="宋体" w:hAnsi="宋体"/>
          <w:kern w:val="0"/>
          <w:sz w:val="28"/>
          <w:szCs w:val="28"/>
          <w:u w:val="single"/>
        </w:rPr>
      </w:pPr>
    </w:p>
    <w:p>
      <w:pPr>
        <w:spacing w:line="360" w:lineRule="auto"/>
        <w:jc w:val="center"/>
        <w:rPr>
          <w:rFonts w:ascii="宋体" w:hAnsi="宋体"/>
          <w:kern w:val="0"/>
          <w:sz w:val="28"/>
          <w:szCs w:val="28"/>
          <w:u w:val="single"/>
        </w:rPr>
      </w:pPr>
    </w:p>
    <w:p>
      <w:pPr>
        <w:spacing w:line="360" w:lineRule="auto"/>
        <w:jc w:val="center"/>
        <w:rPr>
          <w:rFonts w:ascii="宋体" w:hAnsi="宋体"/>
          <w:kern w:val="0"/>
          <w:sz w:val="28"/>
          <w:szCs w:val="28"/>
          <w:u w:val="single"/>
        </w:rPr>
      </w:pPr>
    </w:p>
    <w:p>
      <w:pPr>
        <w:spacing w:line="360" w:lineRule="auto"/>
        <w:jc w:val="center"/>
        <w:rPr>
          <w:rFonts w:ascii="宋体" w:hAnsi="宋体"/>
          <w:kern w:val="0"/>
          <w:sz w:val="28"/>
          <w:szCs w:val="28"/>
          <w:u w:val="single"/>
        </w:rPr>
      </w:pPr>
    </w:p>
    <w:p>
      <w:pPr>
        <w:spacing w:line="360" w:lineRule="auto"/>
        <w:jc w:val="center"/>
        <w:rPr>
          <w:rFonts w:ascii="宋体" w:hAnsi="宋体"/>
          <w:kern w:val="0"/>
          <w:sz w:val="28"/>
          <w:szCs w:val="28"/>
          <w:u w:val="single"/>
        </w:rPr>
      </w:pPr>
    </w:p>
    <w:p>
      <w:pPr>
        <w:spacing w:line="360" w:lineRule="auto"/>
        <w:jc w:val="center"/>
        <w:rPr>
          <w:rFonts w:ascii="宋体" w:hAnsi="宋体"/>
          <w:kern w:val="0"/>
          <w:sz w:val="28"/>
          <w:szCs w:val="28"/>
          <w:u w:val="single"/>
        </w:rPr>
      </w:pPr>
    </w:p>
    <w:p>
      <w:pPr>
        <w:pStyle w:val="2"/>
        <w:rPr>
          <w:rFonts w:ascii="宋体" w:hAnsi="宋体"/>
          <w:kern w:val="0"/>
          <w:sz w:val="28"/>
          <w:szCs w:val="28"/>
          <w:u w:val="single"/>
        </w:rPr>
      </w:pPr>
    </w:p>
    <w:p>
      <w:pPr>
        <w:pStyle w:val="2"/>
        <w:rPr>
          <w:rFonts w:ascii="宋体" w:hAnsi="宋体"/>
          <w:kern w:val="0"/>
          <w:sz w:val="28"/>
          <w:szCs w:val="28"/>
          <w:u w:val="single"/>
        </w:rPr>
      </w:pPr>
    </w:p>
    <w:p>
      <w:pPr>
        <w:pStyle w:val="2"/>
        <w:rPr>
          <w:rFonts w:ascii="宋体" w:hAnsi="宋体"/>
          <w:kern w:val="0"/>
          <w:sz w:val="28"/>
          <w:szCs w:val="28"/>
          <w:u w:val="single"/>
        </w:rPr>
      </w:pPr>
    </w:p>
    <w:p>
      <w:pPr>
        <w:pStyle w:val="2"/>
        <w:rPr>
          <w:rFonts w:ascii="宋体" w:hAnsi="宋体"/>
          <w:kern w:val="0"/>
          <w:sz w:val="28"/>
          <w:szCs w:val="28"/>
          <w:u w:val="single"/>
        </w:rPr>
      </w:pPr>
    </w:p>
    <w:p>
      <w:pPr>
        <w:spacing w:line="360" w:lineRule="auto"/>
        <w:jc w:val="center"/>
        <w:rPr>
          <w:rFonts w:ascii="宋体" w:hAnsi="宋体"/>
          <w:kern w:val="0"/>
          <w:sz w:val="28"/>
          <w:szCs w:val="28"/>
          <w:u w:val="single"/>
        </w:rPr>
      </w:pPr>
    </w:p>
    <w:p>
      <w:pPr>
        <w:spacing w:line="360" w:lineRule="auto"/>
        <w:jc w:val="center"/>
        <w:rPr>
          <w:rFonts w:ascii="宋体" w:hAnsi="宋体"/>
          <w:kern w:val="0"/>
          <w:sz w:val="28"/>
          <w:szCs w:val="28"/>
          <w:u w:val="single"/>
        </w:rPr>
      </w:pPr>
    </w:p>
    <w:p>
      <w:pPr>
        <w:spacing w:line="360" w:lineRule="auto"/>
        <w:jc w:val="center"/>
        <w:rPr>
          <w:rFonts w:ascii="宋体" w:hAnsi="宋体"/>
          <w:kern w:val="0"/>
          <w:sz w:val="32"/>
          <w:szCs w:val="32"/>
        </w:rPr>
      </w:pP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投标函部分</w:t>
      </w: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pPr>
        <w:autoSpaceDE w:val="0"/>
        <w:autoSpaceDN w:val="0"/>
        <w:adjustRightInd w:val="0"/>
        <w:snapToGrid w:val="0"/>
        <w:spacing w:line="360" w:lineRule="auto"/>
        <w:jc w:val="center"/>
        <w:rPr>
          <w:rFonts w:ascii="宋体" w:hAnsi="宋体"/>
          <w:kern w:val="0"/>
          <w:sz w:val="24"/>
          <w:szCs w:val="21"/>
        </w:rPr>
      </w:pPr>
      <w:r>
        <w:rPr>
          <w:rFonts w:hint="eastAsia" w:ascii="宋体" w:hAnsi="宋体"/>
          <w:w w:val="99"/>
          <w:kern w:val="0"/>
          <w:sz w:val="28"/>
          <w:szCs w:val="28"/>
          <w:u w:val="single"/>
        </w:rPr>
        <w:t xml:space="preserve">    </w:t>
      </w:r>
      <w:r>
        <w:rPr>
          <w:rFonts w:hint="eastAsia" w:ascii="宋体" w:hAnsi="宋体"/>
          <w:w w:val="99"/>
          <w:kern w:val="0"/>
          <w:sz w:val="28"/>
          <w:szCs w:val="28"/>
          <w:u w:val="single"/>
          <w:lang w:val="en-US" w:eastAsia="zh-CN"/>
        </w:rPr>
        <w:t xml:space="preserve">  </w:t>
      </w:r>
      <w:r>
        <w:rPr>
          <w:rFonts w:hint="eastAsia" w:ascii="宋体" w:hAnsi="宋体"/>
          <w:w w:val="99"/>
          <w:kern w:val="0"/>
          <w:sz w:val="28"/>
          <w:szCs w:val="28"/>
        </w:rPr>
        <w:t>年</w:t>
      </w:r>
      <w:r>
        <w:rPr>
          <w:rFonts w:hint="eastAsia" w:ascii="宋体" w:hAnsi="宋体"/>
          <w:w w:val="99"/>
          <w:kern w:val="0"/>
          <w:sz w:val="28"/>
          <w:szCs w:val="28"/>
          <w:u w:val="single"/>
        </w:rPr>
        <w:t xml:space="preserve">    </w:t>
      </w:r>
      <w:r>
        <w:rPr>
          <w:rFonts w:hint="eastAsia" w:ascii="宋体" w:hAnsi="宋体"/>
          <w:w w:val="99"/>
          <w:kern w:val="0"/>
          <w:sz w:val="28"/>
          <w:szCs w:val="28"/>
        </w:rPr>
        <w:t>月</w:t>
      </w:r>
      <w:r>
        <w:rPr>
          <w:rFonts w:hint="eastAsia" w:ascii="宋体" w:hAnsi="宋体"/>
          <w:w w:val="99"/>
          <w:kern w:val="0"/>
          <w:sz w:val="28"/>
          <w:szCs w:val="28"/>
          <w:u w:val="single"/>
        </w:rPr>
        <w:t xml:space="preserve">    </w:t>
      </w:r>
      <w:r>
        <w:rPr>
          <w:rFonts w:hint="eastAsia" w:ascii="宋体" w:hAnsi="宋体"/>
          <w:w w:val="99"/>
          <w:kern w:val="0"/>
          <w:sz w:val="28"/>
          <w:szCs w:val="28"/>
        </w:rPr>
        <w:t>日</w:t>
      </w:r>
      <w:r>
        <w:rPr>
          <w:rFonts w:ascii="宋体" w:hAnsi="宋体"/>
          <w:kern w:val="0"/>
          <w:sz w:val="24"/>
          <w:szCs w:val="21"/>
        </w:rPr>
        <w:br w:type="page"/>
      </w:r>
    </w:p>
    <w:p>
      <w:pPr>
        <w:autoSpaceDE w:val="0"/>
        <w:autoSpaceDN w:val="0"/>
        <w:adjustRightInd w:val="0"/>
        <w:snapToGrid w:val="0"/>
        <w:spacing w:line="360" w:lineRule="auto"/>
        <w:jc w:val="center"/>
        <w:rPr>
          <w:rFonts w:ascii="宋体" w:hAnsi="宋体"/>
          <w:kern w:val="0"/>
          <w:sz w:val="32"/>
          <w:szCs w:val="32"/>
        </w:rPr>
      </w:pPr>
      <w:r>
        <w:rPr>
          <w:rFonts w:hint="eastAsia" w:ascii="宋体" w:hAnsi="宋体"/>
          <w:kern w:val="0"/>
          <w:sz w:val="32"/>
          <w:szCs w:val="32"/>
        </w:rPr>
        <w:t>目  录</w:t>
      </w:r>
    </w:p>
    <w:p>
      <w:pPr>
        <w:autoSpaceDE w:val="0"/>
        <w:autoSpaceDN w:val="0"/>
        <w:adjustRightInd w:val="0"/>
        <w:snapToGrid w:val="0"/>
        <w:spacing w:line="360" w:lineRule="auto"/>
        <w:jc w:val="left"/>
        <w:rPr>
          <w:rFonts w:ascii="宋体" w:hAnsi="宋体"/>
          <w:kern w:val="0"/>
          <w:sz w:val="24"/>
          <w:szCs w:val="21"/>
        </w:rPr>
      </w:pPr>
    </w:p>
    <w:p>
      <w:pPr>
        <w:pageBreakBefore w:val="0"/>
        <w:widowControl w:val="0"/>
        <w:kinsoku/>
        <w:wordWrap/>
        <w:overflowPunct/>
        <w:topLinePunct w:val="0"/>
        <w:autoSpaceDE w:val="0"/>
        <w:autoSpaceDN w:val="0"/>
        <w:bidi w:val="0"/>
        <w:adjustRightInd w:val="0"/>
        <w:snapToGrid/>
        <w:spacing w:line="700" w:lineRule="exact"/>
        <w:ind w:firstLine="480" w:firstLineChars="200"/>
        <w:jc w:val="left"/>
        <w:textAlignment w:val="auto"/>
        <w:rPr>
          <w:rFonts w:ascii="宋体" w:hAnsi="宋体"/>
          <w:kern w:val="0"/>
          <w:sz w:val="24"/>
          <w:szCs w:val="24"/>
        </w:rPr>
      </w:pPr>
      <w:r>
        <w:rPr>
          <w:rFonts w:ascii="宋体" w:hAnsi="宋体"/>
          <w:kern w:val="0"/>
          <w:sz w:val="24"/>
          <w:szCs w:val="24"/>
        </w:rPr>
        <w:t>（一）投标函</w:t>
      </w:r>
    </w:p>
    <w:p>
      <w:pPr>
        <w:pageBreakBefore w:val="0"/>
        <w:widowControl w:val="0"/>
        <w:kinsoku/>
        <w:wordWrap/>
        <w:overflowPunct/>
        <w:topLinePunct w:val="0"/>
        <w:autoSpaceDE w:val="0"/>
        <w:autoSpaceDN w:val="0"/>
        <w:bidi w:val="0"/>
        <w:adjustRightInd w:val="0"/>
        <w:snapToGrid/>
        <w:spacing w:line="700" w:lineRule="exact"/>
        <w:ind w:firstLine="480" w:firstLineChars="200"/>
        <w:jc w:val="left"/>
        <w:textAlignment w:val="auto"/>
        <w:rPr>
          <w:rFonts w:hint="eastAsia" w:ascii="宋体" w:hAnsi="宋体" w:eastAsia="宋体"/>
          <w:kern w:val="0"/>
          <w:sz w:val="24"/>
          <w:szCs w:val="24"/>
        </w:rPr>
      </w:pPr>
      <w:r>
        <w:rPr>
          <w:rFonts w:hint="eastAsia" w:ascii="宋体" w:hAnsi="宋体" w:eastAsia="宋体"/>
          <w:kern w:val="0"/>
          <w:sz w:val="24"/>
          <w:szCs w:val="24"/>
        </w:rPr>
        <w:t>（二）投标函附录</w:t>
      </w:r>
    </w:p>
    <w:p>
      <w:pPr>
        <w:pageBreakBefore w:val="0"/>
        <w:widowControl w:val="0"/>
        <w:kinsoku/>
        <w:wordWrap/>
        <w:overflowPunct/>
        <w:topLinePunct w:val="0"/>
        <w:autoSpaceDE w:val="0"/>
        <w:autoSpaceDN w:val="0"/>
        <w:bidi w:val="0"/>
        <w:adjustRightInd w:val="0"/>
        <w:snapToGrid/>
        <w:spacing w:line="700" w:lineRule="exact"/>
        <w:ind w:firstLine="480" w:firstLineChars="200"/>
        <w:jc w:val="left"/>
        <w:textAlignment w:val="auto"/>
        <w:rPr>
          <w:rFonts w:hint="eastAsia" w:ascii="宋体" w:hAnsi="宋体" w:eastAsia="宋体"/>
          <w:kern w:val="0"/>
          <w:sz w:val="24"/>
          <w:szCs w:val="24"/>
        </w:rPr>
      </w:pPr>
      <w:r>
        <w:rPr>
          <w:rFonts w:hint="eastAsia" w:ascii="宋体" w:hAnsi="宋体" w:eastAsia="宋体"/>
          <w:kern w:val="0"/>
          <w:sz w:val="24"/>
          <w:szCs w:val="24"/>
        </w:rPr>
        <w:t>（三）法定代表人身份证明或附有法定代表人身份证明的授权委托书</w:t>
      </w:r>
    </w:p>
    <w:p>
      <w:pPr>
        <w:pageBreakBefore w:val="0"/>
        <w:widowControl w:val="0"/>
        <w:kinsoku/>
        <w:wordWrap/>
        <w:overflowPunct/>
        <w:topLinePunct w:val="0"/>
        <w:autoSpaceDE w:val="0"/>
        <w:autoSpaceDN w:val="0"/>
        <w:bidi w:val="0"/>
        <w:adjustRightInd w:val="0"/>
        <w:snapToGrid/>
        <w:spacing w:line="700" w:lineRule="exact"/>
        <w:ind w:firstLine="480" w:firstLineChars="200"/>
        <w:jc w:val="left"/>
        <w:textAlignment w:val="auto"/>
        <w:rPr>
          <w:rFonts w:hint="eastAsia" w:ascii="宋体" w:hAnsi="宋体" w:eastAsia="宋体"/>
          <w:kern w:val="0"/>
          <w:sz w:val="24"/>
          <w:szCs w:val="24"/>
        </w:rPr>
      </w:pPr>
      <w:r>
        <w:rPr>
          <w:rFonts w:hint="eastAsia" w:ascii="宋体" w:hAnsi="宋体" w:eastAsia="宋体"/>
          <w:kern w:val="0"/>
          <w:sz w:val="24"/>
          <w:szCs w:val="24"/>
        </w:rPr>
        <w:t>（四）低价风险担保提交承诺书</w:t>
      </w:r>
    </w:p>
    <w:p>
      <w:pPr>
        <w:pStyle w:val="7"/>
        <w:pageBreakBefore w:val="0"/>
        <w:widowControl w:val="0"/>
        <w:kinsoku/>
        <w:wordWrap/>
        <w:overflowPunct/>
        <w:topLinePunct w:val="0"/>
        <w:bidi w:val="0"/>
        <w:snapToGrid/>
        <w:spacing w:before="0" w:after="0" w:line="480" w:lineRule="exact"/>
        <w:jc w:val="center"/>
        <w:textAlignment w:val="auto"/>
        <w:rPr>
          <w:rFonts w:ascii="宋体" w:hAnsi="宋体"/>
          <w:b w:val="0"/>
        </w:rPr>
      </w:pPr>
      <w:bookmarkStart w:id="552" w:name="_Toc534185831"/>
      <w:bookmarkStart w:id="553" w:name="_Toc430530530"/>
      <w:bookmarkStart w:id="554" w:name="_Toc224103495"/>
      <w:bookmarkStart w:id="555" w:name="_Toc287607867"/>
      <w:bookmarkStart w:id="556" w:name="_Toc509218854"/>
      <w:bookmarkStart w:id="557" w:name="_Toc287620814"/>
      <w:bookmarkStart w:id="558" w:name="_Toc277082643"/>
      <w:r>
        <w:rPr>
          <w:rFonts w:ascii="宋体" w:hAnsi="宋体"/>
          <w:sz w:val="24"/>
          <w:szCs w:val="24"/>
        </w:rPr>
        <w:br w:type="page"/>
      </w:r>
      <w:bookmarkStart w:id="559" w:name="_Toc24900"/>
      <w:bookmarkStart w:id="560" w:name="_Toc21159"/>
      <w:r>
        <w:rPr>
          <w:rFonts w:hint="eastAsia" w:ascii="宋体" w:hAnsi="宋体"/>
          <w:b w:val="0"/>
          <w:bCs w:val="0"/>
        </w:rPr>
        <w:t>（一）投标函</w:t>
      </w:r>
      <w:bookmarkEnd w:id="552"/>
      <w:bookmarkEnd w:id="553"/>
      <w:bookmarkEnd w:id="554"/>
      <w:bookmarkEnd w:id="555"/>
      <w:bookmarkEnd w:id="556"/>
      <w:bookmarkEnd w:id="557"/>
      <w:bookmarkEnd w:id="558"/>
      <w:bookmarkEnd w:id="559"/>
      <w:bookmarkEnd w:id="560"/>
    </w:p>
    <w:p>
      <w:pPr>
        <w:pageBreakBefore w:val="0"/>
        <w:widowControl w:val="0"/>
        <w:tabs>
          <w:tab w:val="left" w:pos="2640"/>
        </w:tabs>
        <w:kinsoku/>
        <w:wordWrap/>
        <w:overflowPunct/>
        <w:topLinePunct w:val="0"/>
        <w:autoSpaceDE w:val="0"/>
        <w:autoSpaceDN w:val="0"/>
        <w:bidi w:val="0"/>
        <w:adjustRightInd w:val="0"/>
        <w:snapToGrid/>
        <w:spacing w:line="480" w:lineRule="exact"/>
        <w:textAlignment w:val="auto"/>
        <w:rPr>
          <w:rFonts w:ascii="宋体" w:hAnsi="宋体"/>
          <w:snapToGrid w:val="0"/>
          <w:kern w:val="0"/>
          <w:szCs w:val="21"/>
        </w:rPr>
      </w:pPr>
      <w:r>
        <w:rPr>
          <w:rFonts w:ascii="宋体" w:hAnsi="宋体"/>
          <w:snapToGrid w:val="0"/>
          <w:kern w:val="0"/>
          <w:szCs w:val="21"/>
          <w:u w:val="single"/>
        </w:rPr>
        <w:tab/>
      </w:r>
      <w:r>
        <w:rPr>
          <w:rFonts w:ascii="宋体" w:hAnsi="宋体"/>
          <w:snapToGrid w:val="0"/>
          <w:kern w:val="0"/>
          <w:szCs w:val="21"/>
          <w:u w:val="single"/>
        </w:rPr>
        <w:t>（招标人名称）</w:t>
      </w:r>
      <w:r>
        <w:rPr>
          <w:rFonts w:ascii="宋体" w:hAnsi="宋体"/>
          <w:snapToGrid w:val="0"/>
          <w:kern w:val="0"/>
          <w:szCs w:val="21"/>
        </w:rPr>
        <w:t>：</w:t>
      </w:r>
    </w:p>
    <w:p>
      <w:pPr>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spacing w:line="480" w:lineRule="exact"/>
        <w:ind w:firstLine="420" w:firstLineChars="200"/>
        <w:textAlignment w:val="auto"/>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ascii="宋体" w:hAnsi="宋体"/>
          <w:snapToGrid w:val="0"/>
          <w:kern w:val="0"/>
          <w:szCs w:val="21"/>
        </w:rPr>
        <w:t>招标文件的全部内容，愿意以人民币（大写）</w:t>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u w:val="single"/>
        </w:rPr>
        <w:t xml:space="preserve">    </w:t>
      </w:r>
      <w:r>
        <w:rPr>
          <w:rFonts w:ascii="宋体" w:hAnsi="宋体"/>
          <w:snapToGrid w:val="0"/>
          <w:kern w:val="0"/>
          <w:szCs w:val="21"/>
        </w:rPr>
        <w:t>）的投标总报价进行报价，其中</w:t>
      </w:r>
      <w:r>
        <w:rPr>
          <w:rFonts w:ascii="宋体" w:hAnsi="宋体"/>
          <w:snapToGrid w:val="0"/>
          <w:kern w:val="0"/>
        </w:rPr>
        <w:t>安全文明施工费暂定金额为人民币</w:t>
      </w:r>
      <w:r>
        <w:rPr>
          <w:rFonts w:ascii="宋体" w:hAnsi="宋体"/>
          <w:snapToGrid w:val="0"/>
          <w:kern w:val="0"/>
          <w:szCs w:val="21"/>
        </w:rPr>
        <w:t>（大写）</w:t>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u w:val="single"/>
        </w:rPr>
        <w:t xml:space="preserve">    </w:t>
      </w:r>
      <w:r>
        <w:rPr>
          <w:rFonts w:ascii="宋体" w:hAnsi="宋体"/>
          <w:snapToGrid w:val="0"/>
          <w:kern w:val="0"/>
          <w:szCs w:val="21"/>
        </w:rPr>
        <w:t>），该工程</w:t>
      </w:r>
      <w:r>
        <w:rPr>
          <w:rFonts w:ascii="宋体" w:hAnsi="宋体"/>
          <w:snapToGrid w:val="0"/>
          <w:kern w:val="0"/>
        </w:rPr>
        <w:t>项目经理为</w:t>
      </w:r>
      <w:r>
        <w:rPr>
          <w:rFonts w:hint="eastAsia" w:ascii="宋体" w:hAnsi="宋体"/>
          <w:snapToGrid w:val="0"/>
          <w:kern w:val="0"/>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hint="eastAsia" w:ascii="宋体" w:hAnsi="宋体"/>
          <w:snapToGrid w:val="0"/>
          <w:kern w:val="0"/>
          <w:szCs w:val="21"/>
        </w:rPr>
        <w:t>；委托代理人为：</w:t>
      </w:r>
      <w:r>
        <w:rPr>
          <w:rFonts w:hint="eastAsia" w:ascii="宋体" w:hAnsi="宋体"/>
          <w:snapToGrid w:val="0"/>
          <w:kern w:val="0"/>
          <w:szCs w:val="21"/>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ascii="宋体" w:hAnsi="宋体"/>
          <w:snapToGrid w:val="0"/>
          <w:kern w:val="0"/>
          <w:szCs w:val="21"/>
        </w:rPr>
        <w:t>。工期</w:t>
      </w:r>
      <w:r>
        <w:rPr>
          <w:rFonts w:hint="eastAsia" w:ascii="宋体" w:hAnsi="宋体"/>
          <w:snapToGrid w:val="0"/>
          <w:kern w:val="0"/>
          <w:szCs w:val="21"/>
          <w:u w:val="single"/>
        </w:rPr>
        <w:t>达到招标文件的要求</w:t>
      </w:r>
      <w:r>
        <w:rPr>
          <w:rFonts w:ascii="宋体" w:hAnsi="宋体"/>
          <w:snapToGrid w:val="0"/>
          <w:kern w:val="0"/>
          <w:szCs w:val="21"/>
        </w:rPr>
        <w:t>，</w:t>
      </w:r>
      <w:r>
        <w:rPr>
          <w:rFonts w:hint="eastAsia" w:ascii="宋体" w:hAnsi="宋体"/>
          <w:snapToGrid w:val="0"/>
          <w:kern w:val="0"/>
          <w:szCs w:val="21"/>
        </w:rPr>
        <w:t>缺陷责任期</w:t>
      </w:r>
      <w:r>
        <w:rPr>
          <w:rFonts w:hint="eastAsia" w:ascii="宋体" w:hAnsi="宋体"/>
          <w:snapToGrid w:val="0"/>
          <w:kern w:val="0"/>
          <w:szCs w:val="21"/>
          <w:u w:val="single"/>
        </w:rPr>
        <w:t xml:space="preserve">        </w:t>
      </w:r>
      <w:r>
        <w:rPr>
          <w:rFonts w:hint="eastAsia" w:ascii="宋体" w:hAnsi="宋体"/>
          <w:snapToGrid w:val="0"/>
          <w:kern w:val="0"/>
          <w:szCs w:val="21"/>
        </w:rPr>
        <w:t>，</w:t>
      </w:r>
      <w:r>
        <w:rPr>
          <w:rFonts w:ascii="宋体" w:hAnsi="宋体"/>
          <w:snapToGrid w:val="0"/>
          <w:kern w:val="0"/>
          <w:szCs w:val="21"/>
        </w:rPr>
        <w:t xml:space="preserve"> 按合同约定实施和完成承包工程，修补工程中的任何缺陷，工程质量</w:t>
      </w:r>
      <w:r>
        <w:rPr>
          <w:rFonts w:hint="eastAsia" w:ascii="宋体" w:hAnsi="宋体"/>
          <w:snapToGrid w:val="0"/>
          <w:kern w:val="0"/>
          <w:szCs w:val="21"/>
          <w:u w:val="single"/>
        </w:rPr>
        <w:t>达到招标文件的要求</w:t>
      </w:r>
      <w:r>
        <w:rPr>
          <w:rFonts w:ascii="宋体" w:hAnsi="宋体"/>
          <w:snapToGrid w:val="0"/>
          <w:kern w:val="0"/>
          <w:szCs w:val="21"/>
        </w:rPr>
        <w:t>。</w:t>
      </w:r>
    </w:p>
    <w:p>
      <w:pPr>
        <w:pageBreakBefore w:val="0"/>
        <w:widowControl w:val="0"/>
        <w:kinsoku/>
        <w:wordWrap/>
        <w:overflowPunct/>
        <w:topLinePunct w:val="0"/>
        <w:autoSpaceDE w:val="0"/>
        <w:autoSpaceDN w:val="0"/>
        <w:bidi w:val="0"/>
        <w:adjustRightInd w:val="0"/>
        <w:snapToGrid/>
        <w:spacing w:line="480" w:lineRule="exact"/>
        <w:ind w:firstLine="420" w:firstLineChars="200"/>
        <w:textAlignment w:val="auto"/>
        <w:rPr>
          <w:rFonts w:ascii="宋体" w:hAnsi="宋体"/>
          <w:snapToGrid w:val="0"/>
          <w:kern w:val="0"/>
          <w:sz w:val="10"/>
          <w:szCs w:val="10"/>
        </w:rPr>
      </w:pPr>
      <w:r>
        <w:rPr>
          <w:rFonts w:ascii="宋体" w:hAnsi="宋体"/>
          <w:snapToGrid w:val="0"/>
          <w:kern w:val="0"/>
          <w:szCs w:val="21"/>
        </w:rPr>
        <w:t>2</w:t>
      </w:r>
      <w:r>
        <w:rPr>
          <w:rFonts w:hint="eastAsia" w:ascii="宋体" w:hAnsi="宋体"/>
          <w:snapToGrid w:val="0"/>
          <w:kern w:val="0"/>
          <w:szCs w:val="21"/>
        </w:rPr>
        <w:t xml:space="preserve">. </w:t>
      </w:r>
      <w:r>
        <w:rPr>
          <w:rFonts w:ascii="宋体" w:hAnsi="宋体"/>
          <w:snapToGrid w:val="0"/>
          <w:kern w:val="0"/>
          <w:szCs w:val="21"/>
        </w:rPr>
        <w:t>我方承诺</w:t>
      </w:r>
      <w:r>
        <w:rPr>
          <w:rFonts w:hint="eastAsia" w:ascii="宋体" w:hAnsi="宋体"/>
          <w:snapToGrid w:val="0"/>
          <w:kern w:val="0"/>
          <w:szCs w:val="21"/>
        </w:rPr>
        <w:t>响应招标文件规定的投标有效期，</w:t>
      </w:r>
      <w:r>
        <w:rPr>
          <w:rFonts w:ascii="宋体" w:hAnsi="宋体"/>
          <w:snapToGrid w:val="0"/>
          <w:kern w:val="0"/>
          <w:szCs w:val="21"/>
        </w:rPr>
        <w:t>在投标有效期内不修改、撤销投标文件。</w:t>
      </w:r>
    </w:p>
    <w:p>
      <w:pPr>
        <w:pageBreakBefore w:val="0"/>
        <w:widowControl w:val="0"/>
        <w:tabs>
          <w:tab w:val="left" w:pos="2730"/>
          <w:tab w:val="left" w:pos="7980"/>
        </w:tabs>
        <w:kinsoku/>
        <w:wordWrap/>
        <w:overflowPunct/>
        <w:topLinePunct w:val="0"/>
        <w:autoSpaceDE w:val="0"/>
        <w:autoSpaceDN w:val="0"/>
        <w:bidi w:val="0"/>
        <w:adjustRightInd w:val="0"/>
        <w:snapToGrid/>
        <w:spacing w:line="480" w:lineRule="exact"/>
        <w:ind w:firstLine="420" w:firstLineChars="200"/>
        <w:textAlignment w:val="auto"/>
        <w:rPr>
          <w:rFonts w:ascii="宋体" w:hAnsi="宋体"/>
          <w:snapToGrid w:val="0"/>
          <w:kern w:val="0"/>
          <w:sz w:val="10"/>
          <w:szCs w:val="10"/>
        </w:rPr>
      </w:pPr>
      <w:r>
        <w:rPr>
          <w:rFonts w:ascii="宋体" w:hAnsi="宋体"/>
          <w:snapToGrid w:val="0"/>
          <w:kern w:val="0"/>
          <w:szCs w:val="21"/>
        </w:rPr>
        <w:t>3</w:t>
      </w:r>
      <w:r>
        <w:rPr>
          <w:rFonts w:hint="eastAsia" w:ascii="宋体" w:hAnsi="宋体"/>
          <w:snapToGrid w:val="0"/>
          <w:kern w:val="0"/>
          <w:szCs w:val="21"/>
        </w:rPr>
        <w:t xml:space="preserve">. </w:t>
      </w:r>
      <w:r>
        <w:rPr>
          <w:rFonts w:ascii="宋体" w:hAnsi="宋体"/>
          <w:snapToGrid w:val="0"/>
          <w:kern w:val="0"/>
          <w:szCs w:val="21"/>
        </w:rPr>
        <w:t>随同本投标函提交投标保证金一份，金额为人民币（大写）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投标保证金有效期</w:t>
      </w:r>
      <w:r>
        <w:rPr>
          <w:rFonts w:ascii="宋体" w:hAnsi="宋体"/>
          <w:snapToGrid w:val="0"/>
          <w:kern w:val="0"/>
          <w:szCs w:val="21"/>
        </w:rPr>
        <w:t>与</w:t>
      </w:r>
      <w:r>
        <w:rPr>
          <w:rFonts w:hint="eastAsia" w:ascii="宋体" w:hAnsi="宋体"/>
          <w:snapToGrid w:val="0"/>
          <w:kern w:val="0"/>
          <w:szCs w:val="21"/>
        </w:rPr>
        <w:t>投标有效期</w:t>
      </w:r>
      <w:r>
        <w:rPr>
          <w:rFonts w:ascii="宋体" w:hAnsi="宋体"/>
          <w:snapToGrid w:val="0"/>
          <w:kern w:val="0"/>
          <w:szCs w:val="21"/>
        </w:rPr>
        <w:t>一致，在此期间，若我方违反招投标有关法律、法规及本招标文件的相关规定，投标保证金的受益人为招标人。</w:t>
      </w:r>
    </w:p>
    <w:p>
      <w:pPr>
        <w:pageBreakBefore w:val="0"/>
        <w:widowControl w:val="0"/>
        <w:kinsoku/>
        <w:wordWrap/>
        <w:overflowPunct/>
        <w:topLinePunct w:val="0"/>
        <w:autoSpaceDE w:val="0"/>
        <w:autoSpaceDN w:val="0"/>
        <w:bidi w:val="0"/>
        <w:adjustRightInd w:val="0"/>
        <w:snapToGrid/>
        <w:spacing w:line="480" w:lineRule="exact"/>
        <w:ind w:firstLine="420" w:firstLineChars="200"/>
        <w:textAlignment w:val="auto"/>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 xml:space="preserve">. </w:t>
      </w:r>
      <w:r>
        <w:rPr>
          <w:rFonts w:ascii="宋体" w:hAnsi="宋体"/>
          <w:snapToGrid w:val="0"/>
          <w:kern w:val="0"/>
          <w:szCs w:val="21"/>
        </w:rPr>
        <w:t>如我方中标：</w:t>
      </w:r>
    </w:p>
    <w:p>
      <w:pPr>
        <w:pageBreakBefore w:val="0"/>
        <w:widowControl w:val="0"/>
        <w:kinsoku/>
        <w:wordWrap/>
        <w:overflowPunct/>
        <w:topLinePunct w:val="0"/>
        <w:autoSpaceDE w:val="0"/>
        <w:autoSpaceDN w:val="0"/>
        <w:bidi w:val="0"/>
        <w:adjustRightInd w:val="0"/>
        <w:snapToGrid/>
        <w:spacing w:line="480" w:lineRule="exact"/>
        <w:ind w:firstLine="420" w:firstLineChars="200"/>
        <w:textAlignment w:val="auto"/>
        <w:rPr>
          <w:rFonts w:ascii="宋体" w:hAnsi="宋体"/>
          <w:snapToGrid w:val="0"/>
          <w:kern w:val="0"/>
          <w:sz w:val="10"/>
          <w:szCs w:val="10"/>
        </w:rPr>
      </w:pPr>
      <w:r>
        <w:rPr>
          <w:rFonts w:ascii="宋体" w:hAnsi="宋体"/>
          <w:snapToGrid w:val="0"/>
          <w:kern w:val="0"/>
          <w:szCs w:val="21"/>
        </w:rPr>
        <w:t>（1）我方承诺在收到中标通知书后，在中标通知书规定的期限内与你方签订合同。</w:t>
      </w:r>
    </w:p>
    <w:p>
      <w:pPr>
        <w:pageBreakBefore w:val="0"/>
        <w:widowControl w:val="0"/>
        <w:kinsoku/>
        <w:wordWrap/>
        <w:overflowPunct/>
        <w:topLinePunct w:val="0"/>
        <w:autoSpaceDE w:val="0"/>
        <w:autoSpaceDN w:val="0"/>
        <w:bidi w:val="0"/>
        <w:adjustRightInd w:val="0"/>
        <w:snapToGrid/>
        <w:spacing w:line="480" w:lineRule="exact"/>
        <w:ind w:firstLine="420" w:firstLineChars="200"/>
        <w:textAlignment w:val="auto"/>
        <w:rPr>
          <w:rFonts w:ascii="宋体" w:hAnsi="宋体"/>
          <w:snapToGrid w:val="0"/>
          <w:kern w:val="0"/>
          <w:sz w:val="10"/>
          <w:szCs w:val="10"/>
        </w:rPr>
      </w:pPr>
      <w:r>
        <w:rPr>
          <w:rFonts w:ascii="宋体" w:hAnsi="宋体"/>
          <w:snapToGrid w:val="0"/>
          <w:kern w:val="0"/>
          <w:szCs w:val="21"/>
        </w:rPr>
        <w:t>（2）随同本投标函递交的投标函附录属于合同文件的组成部分。</w:t>
      </w:r>
    </w:p>
    <w:p>
      <w:pPr>
        <w:pageBreakBefore w:val="0"/>
        <w:widowControl w:val="0"/>
        <w:kinsoku/>
        <w:wordWrap/>
        <w:overflowPunct/>
        <w:topLinePunct w:val="0"/>
        <w:autoSpaceDE w:val="0"/>
        <w:autoSpaceDN w:val="0"/>
        <w:bidi w:val="0"/>
        <w:adjustRightInd w:val="0"/>
        <w:snapToGrid/>
        <w:spacing w:line="480" w:lineRule="exact"/>
        <w:ind w:firstLine="420" w:firstLineChars="200"/>
        <w:textAlignment w:val="auto"/>
        <w:rPr>
          <w:rFonts w:ascii="宋体" w:hAnsi="宋体"/>
          <w:snapToGrid w:val="0"/>
          <w:kern w:val="0"/>
          <w:sz w:val="10"/>
          <w:szCs w:val="10"/>
        </w:rPr>
      </w:pPr>
      <w:r>
        <w:rPr>
          <w:rFonts w:ascii="宋体" w:hAnsi="宋体"/>
          <w:snapToGrid w:val="0"/>
          <w:kern w:val="0"/>
          <w:szCs w:val="21"/>
        </w:rPr>
        <w:t>（3）我方承诺按照招标文件规定向你方递交履约担保。</w:t>
      </w:r>
    </w:p>
    <w:p>
      <w:pPr>
        <w:pageBreakBefore w:val="0"/>
        <w:widowControl w:val="0"/>
        <w:kinsoku/>
        <w:wordWrap/>
        <w:overflowPunct/>
        <w:topLinePunct w:val="0"/>
        <w:autoSpaceDE w:val="0"/>
        <w:autoSpaceDN w:val="0"/>
        <w:bidi w:val="0"/>
        <w:adjustRightInd w:val="0"/>
        <w:snapToGrid/>
        <w:spacing w:line="480" w:lineRule="exact"/>
        <w:ind w:firstLine="420" w:firstLineChars="200"/>
        <w:textAlignment w:val="auto"/>
        <w:rPr>
          <w:rFonts w:ascii="宋体" w:hAnsi="宋体"/>
          <w:snapToGrid w:val="0"/>
          <w:kern w:val="0"/>
          <w:szCs w:val="21"/>
        </w:rPr>
      </w:pPr>
      <w:r>
        <w:rPr>
          <w:rFonts w:ascii="宋体" w:hAnsi="宋体"/>
          <w:snapToGrid w:val="0"/>
          <w:kern w:val="0"/>
          <w:szCs w:val="21"/>
        </w:rPr>
        <w:t>（4）我方承诺在合同约定的期限内完成并移交全部合同工程。</w:t>
      </w:r>
    </w:p>
    <w:p>
      <w:pPr>
        <w:pageBreakBefore w:val="0"/>
        <w:widowControl w:val="0"/>
        <w:kinsoku/>
        <w:wordWrap/>
        <w:overflowPunct/>
        <w:topLinePunct w:val="0"/>
        <w:autoSpaceDE w:val="0"/>
        <w:autoSpaceDN w:val="0"/>
        <w:bidi w:val="0"/>
        <w:adjustRightInd w:val="0"/>
        <w:snapToGrid/>
        <w:spacing w:line="480" w:lineRule="exact"/>
        <w:ind w:firstLine="420" w:firstLineChars="200"/>
        <w:textAlignment w:val="auto"/>
        <w:rPr>
          <w:rFonts w:ascii="宋体" w:hAnsi="宋体"/>
          <w:snapToGrid w:val="0"/>
          <w:kern w:val="0"/>
          <w:sz w:val="10"/>
          <w:szCs w:val="10"/>
        </w:rPr>
      </w:pPr>
      <w:r>
        <w:rPr>
          <w:rFonts w:hint="eastAsia" w:ascii="宋体" w:hAnsi="宋体"/>
          <w:snapToGrid w:val="0"/>
          <w:kern w:val="0"/>
          <w:szCs w:val="21"/>
        </w:rPr>
        <w:t>（5）我方承诺以不低于招标文件第七章 技术标准和要求中所列的技术指标和参数要求完成全部合同工程。</w:t>
      </w:r>
    </w:p>
    <w:p>
      <w:pPr>
        <w:pageBreakBefore w:val="0"/>
        <w:widowControl w:val="0"/>
        <w:kinsoku/>
        <w:wordWrap/>
        <w:overflowPunct/>
        <w:topLinePunct w:val="0"/>
        <w:autoSpaceDE w:val="0"/>
        <w:autoSpaceDN w:val="0"/>
        <w:bidi w:val="0"/>
        <w:adjustRightInd w:val="0"/>
        <w:snapToGrid/>
        <w:spacing w:line="480" w:lineRule="exact"/>
        <w:ind w:firstLine="420" w:firstLineChars="200"/>
        <w:textAlignment w:val="auto"/>
        <w:rPr>
          <w:rFonts w:ascii="宋体" w:hAnsi="宋体"/>
          <w:snapToGrid w:val="0"/>
          <w:kern w:val="0"/>
          <w:szCs w:val="21"/>
        </w:rPr>
      </w:pPr>
      <w:r>
        <w:rPr>
          <w:rFonts w:ascii="宋体" w:hAnsi="宋体"/>
          <w:snapToGrid w:val="0"/>
          <w:kern w:val="0"/>
          <w:szCs w:val="21"/>
        </w:rPr>
        <w:t>5</w:t>
      </w:r>
      <w:r>
        <w:rPr>
          <w:rFonts w:hint="eastAsia" w:ascii="宋体" w:hAnsi="宋体"/>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在此声明，所递交的投标文件及有关资料内容完整、真实和准确，且不存在第二章“投标人</w:t>
      </w:r>
      <w:r>
        <w:rPr>
          <w:rFonts w:ascii="宋体" w:hAnsi="宋体"/>
          <w:snapToGrid w:val="0"/>
          <w:kern w:val="0"/>
          <w:szCs w:val="21"/>
        </w:rPr>
        <w:t>须知”第 1.4.3 项规定的任何一种情形。同时我方承诺接受招标文件及附件、</w:t>
      </w:r>
      <w:r>
        <w:rPr>
          <w:rFonts w:hint="eastAsia" w:ascii="宋体" w:hAnsi="宋体"/>
          <w:snapToGrid w:val="0"/>
          <w:kern w:val="0"/>
          <w:szCs w:val="21"/>
        </w:rPr>
        <w:t>澄清</w:t>
      </w:r>
      <w:r>
        <w:rPr>
          <w:rFonts w:ascii="宋体" w:hAnsi="宋体"/>
          <w:snapToGrid w:val="0"/>
          <w:kern w:val="0"/>
          <w:szCs w:val="21"/>
        </w:rPr>
        <w:t>及</w:t>
      </w:r>
      <w:r>
        <w:rPr>
          <w:rFonts w:hint="eastAsia" w:ascii="宋体" w:hAnsi="宋体"/>
          <w:snapToGrid w:val="0"/>
          <w:kern w:val="0"/>
          <w:szCs w:val="21"/>
        </w:rPr>
        <w:t>修改</w:t>
      </w:r>
      <w:r>
        <w:rPr>
          <w:rFonts w:ascii="宋体" w:hAnsi="宋体"/>
          <w:snapToGrid w:val="0"/>
          <w:kern w:val="0"/>
          <w:szCs w:val="21"/>
        </w:rPr>
        <w:t>通知中所有的内容。</w:t>
      </w:r>
    </w:p>
    <w:p>
      <w:pPr>
        <w:pageBreakBefore w:val="0"/>
        <w:widowControl w:val="0"/>
        <w:tabs>
          <w:tab w:val="left" w:pos="5985"/>
        </w:tabs>
        <w:kinsoku/>
        <w:wordWrap/>
        <w:overflowPunct/>
        <w:topLinePunct w:val="0"/>
        <w:autoSpaceDE w:val="0"/>
        <w:autoSpaceDN w:val="0"/>
        <w:bidi w:val="0"/>
        <w:adjustRightInd w:val="0"/>
        <w:snapToGrid/>
        <w:spacing w:line="480" w:lineRule="exact"/>
        <w:ind w:firstLine="420" w:firstLineChars="200"/>
        <w:textAlignment w:val="auto"/>
        <w:rPr>
          <w:rFonts w:ascii="宋体" w:hAnsi="宋体"/>
          <w:snapToGrid w:val="0"/>
          <w:kern w:val="0"/>
          <w:szCs w:val="21"/>
        </w:rPr>
      </w:pPr>
      <w:r>
        <w:rPr>
          <w:rFonts w:ascii="宋体" w:hAnsi="宋体"/>
          <w:snapToGrid w:val="0"/>
          <w:kern w:val="0"/>
          <w:szCs w:val="21"/>
        </w:rPr>
        <w:t>6</w:t>
      </w:r>
      <w:r>
        <w:rPr>
          <w:rFonts w:hint="eastAsia" w:ascii="宋体" w:hAnsi="宋体"/>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（其他补充说明）</w:t>
      </w:r>
      <w:r>
        <w:rPr>
          <w:rFonts w:ascii="宋体" w:hAnsi="宋体"/>
          <w:snapToGrid w:val="0"/>
          <w:kern w:val="0"/>
          <w:szCs w:val="21"/>
        </w:rPr>
        <w:t>。</w:t>
      </w:r>
    </w:p>
    <w:p>
      <w:pPr>
        <w:pageBreakBefore w:val="0"/>
        <w:widowControl w:val="0"/>
        <w:tabs>
          <w:tab w:val="left" w:pos="7140"/>
          <w:tab w:val="left" w:pos="7560"/>
          <w:tab w:val="left" w:pos="8300"/>
        </w:tabs>
        <w:kinsoku/>
        <w:wordWrap/>
        <w:overflowPunct/>
        <w:topLinePunct w:val="0"/>
        <w:autoSpaceDE w:val="0"/>
        <w:autoSpaceDN w:val="0"/>
        <w:bidi w:val="0"/>
        <w:adjustRightInd w:val="0"/>
        <w:snapToGrid/>
        <w:spacing w:line="480" w:lineRule="exact"/>
        <w:ind w:firstLine="420" w:firstLineChars="200"/>
        <w:textAlignment w:val="auto"/>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pPr>
        <w:pageBreakBefore w:val="0"/>
        <w:widowControl w:val="0"/>
        <w:tabs>
          <w:tab w:val="left" w:pos="7140"/>
          <w:tab w:val="left" w:pos="7560"/>
          <w:tab w:val="left" w:pos="8300"/>
        </w:tabs>
        <w:kinsoku/>
        <w:wordWrap/>
        <w:overflowPunct/>
        <w:topLinePunct w:val="0"/>
        <w:autoSpaceDE w:val="0"/>
        <w:autoSpaceDN w:val="0"/>
        <w:bidi w:val="0"/>
        <w:adjustRightInd w:val="0"/>
        <w:snapToGrid/>
        <w:spacing w:line="480" w:lineRule="exact"/>
        <w:ind w:firstLine="420" w:firstLineChars="200"/>
        <w:textAlignment w:val="auto"/>
        <w:rPr>
          <w:rFonts w:ascii="宋体" w:hAnsi="宋体"/>
          <w:snapToGrid w:val="0"/>
          <w:kern w:val="0"/>
          <w:szCs w:val="21"/>
        </w:rPr>
      </w:pPr>
      <w:r>
        <w:rPr>
          <w:rFonts w:ascii="宋体" w:hAnsi="宋体"/>
          <w:snapToGrid w:val="0"/>
          <w:kern w:val="0"/>
          <w:szCs w:val="21"/>
        </w:rPr>
        <w:t>法定代表人</w:t>
      </w:r>
      <w:r>
        <w:rPr>
          <w:rFonts w:hint="eastAsia" w:ascii="宋体" w:hAnsi="宋体"/>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p>
    <w:p>
      <w:pPr>
        <w:pageBreakBefore w:val="0"/>
        <w:widowControl w:val="0"/>
        <w:tabs>
          <w:tab w:val="left" w:pos="7035"/>
          <w:tab w:val="left" w:pos="7560"/>
          <w:tab w:val="left" w:pos="8300"/>
        </w:tabs>
        <w:kinsoku/>
        <w:wordWrap/>
        <w:overflowPunct/>
        <w:topLinePunct w:val="0"/>
        <w:autoSpaceDE w:val="0"/>
        <w:autoSpaceDN w:val="0"/>
        <w:bidi w:val="0"/>
        <w:adjustRightInd w:val="0"/>
        <w:snapToGrid/>
        <w:spacing w:line="480" w:lineRule="exact"/>
        <w:ind w:firstLine="420" w:firstLineChars="200"/>
        <w:textAlignment w:val="auto"/>
        <w:rPr>
          <w:rFonts w:ascii="宋体" w:hAnsi="宋体"/>
          <w:snapToGrid w:val="0"/>
          <w:kern w:val="0"/>
          <w:szCs w:val="21"/>
        </w:rPr>
      </w:pPr>
      <w:r>
        <w:rPr>
          <w:rFonts w:ascii="宋体" w:hAnsi="宋体"/>
          <w:snapToGrid w:val="0"/>
          <w:kern w:val="0"/>
          <w:szCs w:val="21"/>
        </w:rPr>
        <w:t>地</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pageBreakBefore w:val="0"/>
        <w:widowControl w:val="0"/>
        <w:tabs>
          <w:tab w:val="left" w:pos="8300"/>
        </w:tabs>
        <w:kinsoku/>
        <w:wordWrap/>
        <w:overflowPunct/>
        <w:topLinePunct w:val="0"/>
        <w:autoSpaceDE w:val="0"/>
        <w:autoSpaceDN w:val="0"/>
        <w:bidi w:val="0"/>
        <w:adjustRightInd w:val="0"/>
        <w:snapToGrid/>
        <w:spacing w:line="480" w:lineRule="exact"/>
        <w:ind w:firstLine="420" w:firstLineChars="200"/>
        <w:textAlignment w:val="auto"/>
        <w:rPr>
          <w:rFonts w:ascii="宋体" w:hAnsi="宋体"/>
          <w:snapToGrid w:val="0"/>
          <w:kern w:val="0"/>
          <w:szCs w:val="21"/>
        </w:rPr>
      </w:pPr>
      <w:r>
        <w:rPr>
          <w:rFonts w:ascii="宋体" w:hAnsi="宋体"/>
          <w:snapToGrid w:val="0"/>
          <w:kern w:val="0"/>
          <w:szCs w:val="21"/>
        </w:rPr>
        <w:t>网</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pageBreakBefore w:val="0"/>
        <w:widowControl w:val="0"/>
        <w:tabs>
          <w:tab w:val="left" w:pos="8300"/>
        </w:tabs>
        <w:kinsoku/>
        <w:wordWrap/>
        <w:overflowPunct/>
        <w:topLinePunct w:val="0"/>
        <w:autoSpaceDE w:val="0"/>
        <w:autoSpaceDN w:val="0"/>
        <w:bidi w:val="0"/>
        <w:adjustRightInd w:val="0"/>
        <w:snapToGrid/>
        <w:spacing w:line="480" w:lineRule="exact"/>
        <w:ind w:firstLine="420" w:firstLineChars="200"/>
        <w:textAlignment w:val="auto"/>
        <w:rPr>
          <w:rFonts w:ascii="宋体" w:hAnsi="宋体"/>
          <w:snapToGrid w:val="0"/>
          <w:kern w:val="0"/>
          <w:szCs w:val="21"/>
        </w:rPr>
      </w:pPr>
      <w:r>
        <w:rPr>
          <w:rFonts w:hint="eastAsia" w:ascii="宋体" w:hAnsi="宋体"/>
          <w:snapToGrid w:val="0"/>
          <w:kern w:val="0"/>
          <w:szCs w:val="21"/>
        </w:rPr>
        <w:t>单位电话（座机）：</w:t>
      </w:r>
      <w:r>
        <w:rPr>
          <w:rFonts w:hint="eastAsia" w:ascii="宋体" w:hAnsi="宋体"/>
          <w:snapToGrid w:val="0"/>
          <w:kern w:val="0"/>
          <w:szCs w:val="21"/>
          <w:u w:val="single"/>
        </w:rPr>
        <w:t xml:space="preserve">                      </w:t>
      </w:r>
      <w:r>
        <w:rPr>
          <w:rFonts w:hint="eastAsia" w:ascii="宋体" w:hAnsi="宋体"/>
          <w:snapToGrid w:val="0"/>
          <w:kern w:val="0"/>
          <w:szCs w:val="21"/>
        </w:rPr>
        <w:t>委托代理人电话（手机）：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pageBreakBefore w:val="0"/>
        <w:widowControl w:val="0"/>
        <w:tabs>
          <w:tab w:val="left" w:pos="8300"/>
        </w:tabs>
        <w:kinsoku/>
        <w:wordWrap/>
        <w:overflowPunct/>
        <w:topLinePunct w:val="0"/>
        <w:autoSpaceDE w:val="0"/>
        <w:autoSpaceDN w:val="0"/>
        <w:bidi w:val="0"/>
        <w:adjustRightInd w:val="0"/>
        <w:snapToGrid/>
        <w:spacing w:line="480" w:lineRule="exact"/>
        <w:ind w:firstLine="420" w:firstLineChars="200"/>
        <w:textAlignment w:val="auto"/>
        <w:rPr>
          <w:rFonts w:ascii="宋体" w:hAnsi="宋体"/>
          <w:snapToGrid w:val="0"/>
          <w:kern w:val="0"/>
          <w:szCs w:val="21"/>
        </w:rPr>
      </w:pPr>
      <w:r>
        <w:rPr>
          <w:rFonts w:ascii="宋体" w:hAnsi="宋体"/>
          <w:snapToGrid w:val="0"/>
          <w:kern w:val="0"/>
          <w:szCs w:val="21"/>
        </w:rPr>
        <w:t>传</w:t>
      </w:r>
      <w:r>
        <w:rPr>
          <w:rFonts w:hint="eastAsia" w:ascii="宋体" w:hAnsi="宋体"/>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pageBreakBefore w:val="0"/>
        <w:widowControl w:val="0"/>
        <w:tabs>
          <w:tab w:val="left" w:pos="8300"/>
        </w:tabs>
        <w:kinsoku/>
        <w:wordWrap/>
        <w:overflowPunct/>
        <w:topLinePunct w:val="0"/>
        <w:autoSpaceDE w:val="0"/>
        <w:autoSpaceDN w:val="0"/>
        <w:bidi w:val="0"/>
        <w:adjustRightInd w:val="0"/>
        <w:snapToGrid/>
        <w:spacing w:line="480" w:lineRule="exact"/>
        <w:ind w:firstLine="420" w:firstLineChars="200"/>
        <w:textAlignment w:val="auto"/>
        <w:rPr>
          <w:rFonts w:ascii="宋体" w:hAnsi="宋体"/>
          <w:snapToGrid w:val="0"/>
          <w:kern w:val="0"/>
          <w:sz w:val="20"/>
          <w:szCs w:val="20"/>
        </w:rPr>
      </w:pPr>
      <w:r>
        <w:rPr>
          <w:rFonts w:ascii="宋体" w:hAnsi="宋体"/>
          <w:snapToGrid w:val="0"/>
          <w:kern w:val="0"/>
          <w:szCs w:val="21"/>
        </w:rPr>
        <w:t>邮政编码：</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pageBreakBefore w:val="0"/>
        <w:widowControl w:val="0"/>
        <w:tabs>
          <w:tab w:val="left" w:pos="8300"/>
        </w:tabs>
        <w:kinsoku/>
        <w:wordWrap/>
        <w:overflowPunct/>
        <w:topLinePunct w:val="0"/>
        <w:autoSpaceDE w:val="0"/>
        <w:autoSpaceDN w:val="0"/>
        <w:bidi w:val="0"/>
        <w:adjustRightInd w:val="0"/>
        <w:snapToGrid/>
        <w:spacing w:line="480" w:lineRule="exact"/>
        <w:ind w:firstLine="420" w:firstLineChars="200"/>
        <w:jc w:val="right"/>
        <w:textAlignment w:val="auto"/>
        <w:rPr>
          <w:rFonts w:ascii="宋体" w:hAnsi="宋体"/>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pStyle w:val="7"/>
        <w:numPr>
          <w:ilvl w:val="0"/>
          <w:numId w:val="10"/>
        </w:numPr>
        <w:spacing w:before="0" w:after="0" w:line="240" w:lineRule="auto"/>
        <w:jc w:val="center"/>
        <w:rPr>
          <w:rFonts w:ascii="宋体" w:hAnsi="宋体"/>
          <w:b w:val="0"/>
          <w:bCs w:val="0"/>
        </w:rPr>
      </w:pPr>
      <w:bookmarkStart w:id="561" w:name="_Toc430530531"/>
      <w:bookmarkStart w:id="562" w:name="_Toc277082644"/>
      <w:bookmarkStart w:id="563" w:name="_Toc224103496"/>
      <w:bookmarkStart w:id="564" w:name="_Toc287607868"/>
      <w:bookmarkStart w:id="565" w:name="_Toc287620815"/>
      <w:r>
        <w:rPr>
          <w:rFonts w:ascii="宋体" w:hAnsi="宋体"/>
          <w:sz w:val="28"/>
        </w:rPr>
        <w:br w:type="page"/>
      </w:r>
      <w:bookmarkStart w:id="566" w:name="_Toc534185832"/>
      <w:bookmarkStart w:id="567" w:name="_Toc18360"/>
      <w:bookmarkStart w:id="568" w:name="_Toc14835"/>
      <w:bookmarkStart w:id="569" w:name="_Toc509218855"/>
      <w:r>
        <w:rPr>
          <w:rFonts w:ascii="宋体" w:hAnsi="宋体"/>
          <w:b w:val="0"/>
          <w:bCs w:val="0"/>
        </w:rPr>
        <w:t>投标函附录</w:t>
      </w:r>
      <w:bookmarkEnd w:id="561"/>
      <w:bookmarkEnd w:id="562"/>
      <w:bookmarkEnd w:id="563"/>
      <w:bookmarkEnd w:id="564"/>
      <w:bookmarkEnd w:id="565"/>
      <w:bookmarkEnd w:id="566"/>
      <w:bookmarkEnd w:id="567"/>
      <w:bookmarkEnd w:id="568"/>
      <w:bookmarkEnd w:id="569"/>
    </w:p>
    <w:p>
      <w:pPr>
        <w:numPr>
          <w:ilvl w:val="0"/>
          <w:numId w:val="0"/>
        </w:numPr>
      </w:pPr>
    </w:p>
    <w:tbl>
      <w:tblPr>
        <w:tblStyle w:val="53"/>
        <w:tblW w:w="4998"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1129"/>
        <w:gridCol w:w="3258"/>
        <w:gridCol w:w="3970"/>
        <w:gridCol w:w="143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05" w:hRule="exact"/>
        </w:trPr>
        <w:tc>
          <w:tcPr>
            <w:tcW w:w="576" w:type="pct"/>
            <w:noWrap w:val="0"/>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序号</w:t>
            </w:r>
          </w:p>
        </w:tc>
        <w:tc>
          <w:tcPr>
            <w:tcW w:w="1662" w:type="pct"/>
            <w:noWrap w:val="0"/>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条款名称</w:t>
            </w:r>
          </w:p>
        </w:tc>
        <w:tc>
          <w:tcPr>
            <w:tcW w:w="2025" w:type="pct"/>
            <w:noWrap w:val="0"/>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约定内容</w:t>
            </w:r>
          </w:p>
        </w:tc>
        <w:tc>
          <w:tcPr>
            <w:tcW w:w="734" w:type="pct"/>
            <w:noWrap w:val="0"/>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576" w:type="pct"/>
            <w:noWrap w:val="0"/>
            <w:vAlign w:val="center"/>
          </w:tcPr>
          <w:p>
            <w:pPr>
              <w:autoSpaceDE w:val="0"/>
              <w:autoSpaceDN w:val="0"/>
              <w:adjustRightInd w:val="0"/>
              <w:jc w:val="center"/>
              <w:rPr>
                <w:rFonts w:ascii="宋体" w:hAnsi="宋体"/>
                <w:snapToGrid w:val="0"/>
                <w:kern w:val="0"/>
                <w:szCs w:val="21"/>
              </w:rPr>
            </w:pPr>
            <w:r>
              <w:rPr>
                <w:rFonts w:hint="eastAsia" w:ascii="宋体" w:hAnsi="宋体"/>
                <w:snapToGrid w:val="0"/>
                <w:kern w:val="0"/>
                <w:szCs w:val="21"/>
              </w:rPr>
              <w:t>1</w:t>
            </w:r>
          </w:p>
        </w:tc>
        <w:tc>
          <w:tcPr>
            <w:tcW w:w="1662" w:type="pct"/>
            <w:noWrap w:val="0"/>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工期</w:t>
            </w:r>
          </w:p>
        </w:tc>
        <w:tc>
          <w:tcPr>
            <w:tcW w:w="2025" w:type="pct"/>
            <w:noWrap w:val="0"/>
            <w:vAlign w:val="center"/>
          </w:tcPr>
          <w:p>
            <w:pPr>
              <w:tabs>
                <w:tab w:val="left" w:pos="1560"/>
              </w:tabs>
              <w:autoSpaceDE w:val="0"/>
              <w:autoSpaceDN w:val="0"/>
              <w:adjustRightInd w:val="0"/>
              <w:jc w:val="center"/>
              <w:rPr>
                <w:rFonts w:ascii="宋体" w:hAnsi="宋体"/>
                <w:snapToGrid w:val="0"/>
                <w:kern w:val="0"/>
                <w:szCs w:val="21"/>
              </w:rPr>
            </w:pPr>
          </w:p>
        </w:tc>
        <w:tc>
          <w:tcPr>
            <w:tcW w:w="734" w:type="pct"/>
            <w:noWrap w:val="0"/>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576" w:type="pct"/>
            <w:noWrap w:val="0"/>
            <w:vAlign w:val="center"/>
          </w:tcPr>
          <w:p>
            <w:pPr>
              <w:autoSpaceDE w:val="0"/>
              <w:autoSpaceDN w:val="0"/>
              <w:adjustRightInd w:val="0"/>
              <w:jc w:val="center"/>
              <w:rPr>
                <w:rFonts w:ascii="宋体" w:hAnsi="宋体"/>
                <w:snapToGrid w:val="0"/>
                <w:kern w:val="0"/>
                <w:szCs w:val="21"/>
              </w:rPr>
            </w:pPr>
            <w:r>
              <w:rPr>
                <w:rFonts w:hint="eastAsia" w:ascii="宋体" w:hAnsi="宋体"/>
                <w:snapToGrid w:val="0"/>
                <w:kern w:val="0"/>
                <w:szCs w:val="21"/>
              </w:rPr>
              <w:t>2</w:t>
            </w:r>
          </w:p>
        </w:tc>
        <w:tc>
          <w:tcPr>
            <w:tcW w:w="1662" w:type="pct"/>
            <w:noWrap w:val="0"/>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分包</w:t>
            </w:r>
          </w:p>
        </w:tc>
        <w:tc>
          <w:tcPr>
            <w:tcW w:w="2025" w:type="pct"/>
            <w:noWrap w:val="0"/>
            <w:vAlign w:val="center"/>
          </w:tcPr>
          <w:p>
            <w:pPr>
              <w:autoSpaceDE w:val="0"/>
              <w:autoSpaceDN w:val="0"/>
              <w:adjustRightInd w:val="0"/>
              <w:jc w:val="center"/>
              <w:rPr>
                <w:rFonts w:ascii="宋体" w:hAnsi="宋体"/>
                <w:snapToGrid w:val="0"/>
                <w:kern w:val="0"/>
                <w:szCs w:val="21"/>
              </w:rPr>
            </w:pPr>
          </w:p>
        </w:tc>
        <w:tc>
          <w:tcPr>
            <w:tcW w:w="734" w:type="pct"/>
            <w:noWrap w:val="0"/>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576" w:type="pct"/>
            <w:noWrap w:val="0"/>
            <w:vAlign w:val="center"/>
          </w:tcPr>
          <w:p>
            <w:pPr>
              <w:autoSpaceDE w:val="0"/>
              <w:autoSpaceDN w:val="0"/>
              <w:adjustRightInd w:val="0"/>
              <w:jc w:val="center"/>
              <w:rPr>
                <w:rFonts w:ascii="宋体" w:hAnsi="宋体"/>
                <w:snapToGrid w:val="0"/>
                <w:kern w:val="0"/>
                <w:szCs w:val="21"/>
              </w:rPr>
            </w:pPr>
            <w:r>
              <w:rPr>
                <w:rFonts w:hint="eastAsia" w:ascii="宋体" w:hAnsi="宋体"/>
                <w:snapToGrid w:val="0"/>
                <w:kern w:val="0"/>
                <w:szCs w:val="21"/>
              </w:rPr>
              <w:t>3</w:t>
            </w:r>
          </w:p>
        </w:tc>
        <w:tc>
          <w:tcPr>
            <w:tcW w:w="1662" w:type="pct"/>
            <w:noWrap w:val="0"/>
            <w:vAlign w:val="center"/>
          </w:tcPr>
          <w:p>
            <w:pPr>
              <w:autoSpaceDE w:val="0"/>
              <w:autoSpaceDN w:val="0"/>
              <w:adjustRightInd w:val="0"/>
              <w:jc w:val="center"/>
              <w:rPr>
                <w:rFonts w:ascii="宋体" w:hAnsi="宋体"/>
                <w:snapToGrid w:val="0"/>
                <w:kern w:val="0"/>
                <w:szCs w:val="21"/>
              </w:rPr>
            </w:pPr>
            <w:r>
              <w:rPr>
                <w:rFonts w:hint="eastAsia" w:ascii="宋体" w:hAnsi="宋体"/>
                <w:snapToGrid w:val="0"/>
                <w:kern w:val="0"/>
                <w:szCs w:val="21"/>
              </w:rPr>
              <w:t>工程质量</w:t>
            </w:r>
          </w:p>
        </w:tc>
        <w:tc>
          <w:tcPr>
            <w:tcW w:w="2025" w:type="pct"/>
            <w:noWrap w:val="0"/>
            <w:vAlign w:val="center"/>
          </w:tcPr>
          <w:p>
            <w:pPr>
              <w:autoSpaceDE w:val="0"/>
              <w:autoSpaceDN w:val="0"/>
              <w:adjustRightInd w:val="0"/>
              <w:jc w:val="center"/>
              <w:rPr>
                <w:rFonts w:ascii="宋体" w:hAnsi="宋体"/>
                <w:snapToGrid w:val="0"/>
                <w:kern w:val="0"/>
                <w:szCs w:val="21"/>
              </w:rPr>
            </w:pPr>
          </w:p>
        </w:tc>
        <w:tc>
          <w:tcPr>
            <w:tcW w:w="734" w:type="pct"/>
            <w:noWrap w:val="0"/>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576" w:type="pct"/>
            <w:noWrap w:val="0"/>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1662" w:type="pct"/>
            <w:noWrap w:val="0"/>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025" w:type="pct"/>
            <w:noWrap w:val="0"/>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34" w:type="pct"/>
            <w:noWrap w:val="0"/>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576" w:type="pct"/>
            <w:noWrap w:val="0"/>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1662" w:type="pct"/>
            <w:noWrap w:val="0"/>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025" w:type="pct"/>
            <w:noWrap w:val="0"/>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34" w:type="pct"/>
            <w:noWrap w:val="0"/>
            <w:vAlign w:val="center"/>
          </w:tcPr>
          <w:p>
            <w:pPr>
              <w:autoSpaceDE w:val="0"/>
              <w:autoSpaceDN w:val="0"/>
              <w:adjustRightInd w:val="0"/>
              <w:jc w:val="center"/>
              <w:rPr>
                <w:rFonts w:ascii="宋体" w:hAnsi="宋体"/>
                <w:snapToGrid w:val="0"/>
                <w:kern w:val="0"/>
                <w:szCs w:val="21"/>
              </w:rPr>
            </w:pPr>
          </w:p>
        </w:tc>
      </w:tr>
    </w:tbl>
    <w:p>
      <w:pPr>
        <w:spacing w:line="360" w:lineRule="auto"/>
        <w:rPr>
          <w:rFonts w:ascii="宋体" w:hAnsi="宋体"/>
          <w:snapToGrid w:val="0"/>
          <w:w w:val="99"/>
        </w:rPr>
      </w:pPr>
    </w:p>
    <w:p>
      <w:pPr>
        <w:spacing w:line="360" w:lineRule="auto"/>
        <w:rPr>
          <w:rFonts w:ascii="宋体" w:hAnsi="宋体"/>
          <w:snapToGrid w:val="0"/>
          <w:kern w:val="0"/>
          <w:sz w:val="32"/>
          <w:szCs w:val="32"/>
        </w:rPr>
      </w:pPr>
    </w:p>
    <w:p>
      <w:pPr>
        <w:spacing w:line="360" w:lineRule="auto"/>
        <w:rPr>
          <w:rFonts w:ascii="宋体" w:hAnsi="宋体"/>
          <w:snapToGrid w:val="0"/>
        </w:rPr>
      </w:pPr>
    </w:p>
    <w:p>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kern w:val="0"/>
          <w:szCs w:val="21"/>
        </w:rPr>
      </w:pPr>
      <w:r>
        <w:rPr>
          <w:rFonts w:hint="eastAsia" w:ascii="宋体" w:hAnsi="宋体"/>
          <w:snapToGrid w:val="0"/>
          <w:kern w:val="0"/>
          <w:szCs w:val="21"/>
        </w:rPr>
        <w:t xml:space="preserve">   </w:t>
      </w:r>
    </w:p>
    <w:p>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 xml:space="preserve">或盖章） </w:t>
      </w:r>
    </w:p>
    <w:p>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kern w:val="0"/>
          <w:szCs w:val="21"/>
        </w:rPr>
      </w:pPr>
    </w:p>
    <w:p>
      <w:pPr>
        <w:pStyle w:val="7"/>
        <w:spacing w:before="0" w:after="0" w:line="240" w:lineRule="auto"/>
        <w:jc w:val="center"/>
        <w:rPr>
          <w:rFonts w:ascii="宋体" w:hAnsi="宋体"/>
          <w:snapToGrid w:val="0"/>
          <w:kern w:val="0"/>
          <w:szCs w:val="21"/>
        </w:rPr>
      </w:pPr>
      <w:r>
        <w:rPr>
          <w:rFonts w:ascii="宋体" w:hAnsi="宋体"/>
          <w:snapToGrid w:val="0"/>
        </w:rPr>
        <w:br w:type="page"/>
      </w:r>
      <w:bookmarkStart w:id="570" w:name="_Toc287607869"/>
      <w:bookmarkStart w:id="571" w:name="_Toc27100"/>
      <w:bookmarkStart w:id="572" w:name="_Toc430530532"/>
      <w:bookmarkStart w:id="573" w:name="_Toc277082645"/>
      <w:bookmarkStart w:id="574" w:name="_Toc287620816"/>
      <w:bookmarkStart w:id="575" w:name="_Toc224103497"/>
      <w:bookmarkStart w:id="576" w:name="_Toc3126"/>
      <w:r>
        <w:rPr>
          <w:rFonts w:ascii="宋体" w:hAnsi="宋体"/>
          <w:b w:val="0"/>
          <w:bCs w:val="0"/>
        </w:rPr>
        <w:t>（三）</w:t>
      </w:r>
      <w:r>
        <w:rPr>
          <w:rFonts w:hint="eastAsia" w:ascii="宋体" w:hAnsi="宋体"/>
          <w:b w:val="0"/>
          <w:bCs w:val="0"/>
        </w:rPr>
        <w:t>法定代表人身份证明或附有法定代表人身份证明的授权委托书</w:t>
      </w:r>
      <w:bookmarkEnd w:id="570"/>
      <w:bookmarkEnd w:id="571"/>
      <w:bookmarkEnd w:id="572"/>
      <w:bookmarkEnd w:id="573"/>
      <w:bookmarkEnd w:id="574"/>
      <w:bookmarkEnd w:id="575"/>
      <w:bookmarkEnd w:id="576"/>
    </w:p>
    <w:p>
      <w:pPr>
        <w:spacing w:line="480" w:lineRule="auto"/>
        <w:jc w:val="center"/>
        <w:rPr>
          <w:rFonts w:ascii="宋体" w:hAnsi="宋体"/>
          <w:sz w:val="28"/>
        </w:rPr>
      </w:pPr>
      <w:r>
        <w:rPr>
          <w:rFonts w:hint="eastAsia" w:ascii="宋体" w:hAnsi="宋体"/>
          <w:sz w:val="28"/>
        </w:rPr>
        <w:t>法定代表人身份证明</w:t>
      </w:r>
    </w:p>
    <w:p>
      <w:pPr>
        <w:spacing w:line="480" w:lineRule="auto"/>
        <w:jc w:val="center"/>
        <w:rPr>
          <w:rFonts w:ascii="宋体" w:hAnsi="宋体"/>
        </w:rPr>
      </w:pPr>
    </w:p>
    <w:p>
      <w:pPr>
        <w:keepNext w:val="0"/>
        <w:keepLines w:val="0"/>
        <w:pageBreakBefore w:val="0"/>
        <w:widowControl w:val="0"/>
        <w:tabs>
          <w:tab w:val="left" w:pos="5565"/>
        </w:tabs>
        <w:kinsoku/>
        <w:overflowPunct/>
        <w:topLinePunct w:val="0"/>
        <w:autoSpaceDE w:val="0"/>
        <w:autoSpaceDN w:val="0"/>
        <w:bidi w:val="0"/>
        <w:adjustRightInd w:val="0"/>
        <w:snapToGrid w:val="0"/>
        <w:spacing w:line="700" w:lineRule="exact"/>
        <w:ind w:firstLine="390" w:firstLineChars="186"/>
        <w:jc w:val="left"/>
        <w:textAlignment w:val="auto"/>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hint="eastAsia" w:ascii="宋体" w:hAnsi="宋体"/>
          <w:w w:val="200"/>
          <w:kern w:val="0"/>
          <w:szCs w:val="21"/>
          <w:u w:val="single"/>
        </w:rPr>
        <w:t xml:space="preserve">                                    </w:t>
      </w:r>
    </w:p>
    <w:p>
      <w:pPr>
        <w:keepNext w:val="0"/>
        <w:keepLines w:val="0"/>
        <w:pageBreakBefore w:val="0"/>
        <w:widowControl w:val="0"/>
        <w:tabs>
          <w:tab w:val="left" w:pos="5475"/>
        </w:tabs>
        <w:kinsoku/>
        <w:overflowPunct/>
        <w:topLinePunct w:val="0"/>
        <w:autoSpaceDE w:val="0"/>
        <w:autoSpaceDN w:val="0"/>
        <w:bidi w:val="0"/>
        <w:adjustRightInd w:val="0"/>
        <w:snapToGrid w:val="0"/>
        <w:spacing w:line="700" w:lineRule="exact"/>
        <w:ind w:firstLine="390" w:firstLineChars="186"/>
        <w:jc w:val="left"/>
        <w:textAlignment w:val="auto"/>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pPr>
        <w:keepNext w:val="0"/>
        <w:keepLines w:val="0"/>
        <w:pageBreakBefore w:val="0"/>
        <w:widowControl w:val="0"/>
        <w:tabs>
          <w:tab w:val="left" w:pos="5475"/>
        </w:tabs>
        <w:kinsoku/>
        <w:overflowPunct/>
        <w:topLinePunct w:val="0"/>
        <w:autoSpaceDE w:val="0"/>
        <w:autoSpaceDN w:val="0"/>
        <w:bidi w:val="0"/>
        <w:adjustRightInd w:val="0"/>
        <w:snapToGrid w:val="0"/>
        <w:spacing w:line="700" w:lineRule="exact"/>
        <w:ind w:firstLine="390" w:firstLineChars="186"/>
        <w:jc w:val="left"/>
        <w:textAlignment w:val="auto"/>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pPr>
        <w:keepNext w:val="0"/>
        <w:keepLines w:val="0"/>
        <w:pageBreakBefore w:val="0"/>
        <w:widowControl w:val="0"/>
        <w:tabs>
          <w:tab w:val="left" w:pos="2520"/>
          <w:tab w:val="left" w:pos="3836"/>
        </w:tabs>
        <w:kinsoku/>
        <w:overflowPunct/>
        <w:topLinePunct w:val="0"/>
        <w:autoSpaceDE w:val="0"/>
        <w:autoSpaceDN w:val="0"/>
        <w:bidi w:val="0"/>
        <w:adjustRightInd w:val="0"/>
        <w:snapToGrid w:val="0"/>
        <w:spacing w:line="700" w:lineRule="exact"/>
        <w:ind w:firstLine="390" w:firstLineChars="186"/>
        <w:jc w:val="left"/>
        <w:textAlignment w:val="auto"/>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pPr>
        <w:keepNext w:val="0"/>
        <w:keepLines w:val="0"/>
        <w:pageBreakBefore w:val="0"/>
        <w:widowControl w:val="0"/>
        <w:tabs>
          <w:tab w:val="left" w:pos="5475"/>
        </w:tabs>
        <w:kinsoku/>
        <w:overflowPunct/>
        <w:topLinePunct w:val="0"/>
        <w:autoSpaceDE w:val="0"/>
        <w:autoSpaceDN w:val="0"/>
        <w:bidi w:val="0"/>
        <w:adjustRightInd w:val="0"/>
        <w:snapToGrid w:val="0"/>
        <w:spacing w:line="700" w:lineRule="exact"/>
        <w:ind w:firstLine="390" w:firstLineChars="186"/>
        <w:jc w:val="left"/>
        <w:textAlignment w:val="auto"/>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pPr>
        <w:keepNext w:val="0"/>
        <w:keepLines w:val="0"/>
        <w:pageBreakBefore w:val="0"/>
        <w:widowControl w:val="0"/>
        <w:tabs>
          <w:tab w:val="left" w:pos="1580"/>
          <w:tab w:val="left" w:pos="3260"/>
          <w:tab w:val="left" w:pos="4840"/>
          <w:tab w:val="left" w:pos="6300"/>
        </w:tabs>
        <w:kinsoku/>
        <w:overflowPunct/>
        <w:topLinePunct w:val="0"/>
        <w:autoSpaceDE w:val="0"/>
        <w:autoSpaceDN w:val="0"/>
        <w:bidi w:val="0"/>
        <w:adjustRightInd w:val="0"/>
        <w:snapToGrid w:val="0"/>
        <w:spacing w:line="700" w:lineRule="exact"/>
        <w:ind w:firstLine="390" w:firstLineChars="186"/>
        <w:jc w:val="left"/>
        <w:textAlignment w:val="auto"/>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pPr>
        <w:keepNext w:val="0"/>
        <w:keepLines w:val="0"/>
        <w:pageBreakBefore w:val="0"/>
        <w:widowControl w:val="0"/>
        <w:tabs>
          <w:tab w:val="left" w:pos="3360"/>
        </w:tabs>
        <w:kinsoku/>
        <w:overflowPunct/>
        <w:topLinePunct w:val="0"/>
        <w:autoSpaceDE w:val="0"/>
        <w:autoSpaceDN w:val="0"/>
        <w:bidi w:val="0"/>
        <w:adjustRightInd w:val="0"/>
        <w:snapToGrid w:val="0"/>
        <w:spacing w:line="700" w:lineRule="exact"/>
        <w:ind w:firstLine="390" w:firstLineChars="186"/>
        <w:jc w:val="left"/>
        <w:textAlignment w:val="auto"/>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pPr>
        <w:keepNext w:val="0"/>
        <w:keepLines w:val="0"/>
        <w:pageBreakBefore w:val="0"/>
        <w:widowControl w:val="0"/>
        <w:tabs>
          <w:tab w:val="left" w:pos="3360"/>
        </w:tabs>
        <w:kinsoku/>
        <w:overflowPunct/>
        <w:topLinePunct w:val="0"/>
        <w:autoSpaceDE w:val="0"/>
        <w:autoSpaceDN w:val="0"/>
        <w:bidi w:val="0"/>
        <w:adjustRightInd w:val="0"/>
        <w:snapToGrid w:val="0"/>
        <w:spacing w:line="700" w:lineRule="exact"/>
        <w:ind w:firstLine="390" w:firstLineChars="186"/>
        <w:jc w:val="left"/>
        <w:textAlignment w:val="auto"/>
        <w:rPr>
          <w:rFonts w:ascii="宋体" w:hAnsi="宋体"/>
          <w:kern w:val="0"/>
          <w:szCs w:val="21"/>
        </w:rPr>
      </w:pPr>
      <w:r>
        <w:rPr>
          <w:rFonts w:ascii="宋体" w:hAnsi="宋体"/>
          <w:kern w:val="0"/>
          <w:szCs w:val="21"/>
        </w:rPr>
        <w:t>特此证明。</w:t>
      </w:r>
    </w:p>
    <w:p>
      <w:pPr>
        <w:keepNext w:val="0"/>
        <w:keepLines w:val="0"/>
        <w:pageBreakBefore w:val="0"/>
        <w:widowControl w:val="0"/>
        <w:kinsoku/>
        <w:overflowPunct/>
        <w:topLinePunct w:val="0"/>
        <w:autoSpaceDE w:val="0"/>
        <w:autoSpaceDN w:val="0"/>
        <w:bidi w:val="0"/>
        <w:adjustRightInd w:val="0"/>
        <w:snapToGrid w:val="0"/>
        <w:spacing w:line="700" w:lineRule="exact"/>
        <w:ind w:firstLine="810" w:firstLineChars="386"/>
        <w:jc w:val="left"/>
        <w:textAlignment w:val="auto"/>
        <w:rPr>
          <w:rFonts w:hint="eastAsia" w:ascii="宋体" w:hAnsi="宋体"/>
          <w:kern w:val="0"/>
          <w:szCs w:val="21"/>
        </w:rPr>
      </w:pPr>
    </w:p>
    <w:p>
      <w:pPr>
        <w:keepNext w:val="0"/>
        <w:keepLines w:val="0"/>
        <w:pageBreakBefore w:val="0"/>
        <w:widowControl w:val="0"/>
        <w:kinsoku/>
        <w:overflowPunct/>
        <w:topLinePunct w:val="0"/>
        <w:autoSpaceDE w:val="0"/>
        <w:autoSpaceDN w:val="0"/>
        <w:bidi w:val="0"/>
        <w:adjustRightInd w:val="0"/>
        <w:snapToGrid w:val="0"/>
        <w:spacing w:line="700" w:lineRule="exact"/>
        <w:ind w:firstLine="810" w:firstLineChars="386"/>
        <w:jc w:val="left"/>
        <w:textAlignment w:val="auto"/>
        <w:rPr>
          <w:rFonts w:ascii="宋体" w:hAnsi="宋体"/>
          <w:szCs w:val="21"/>
        </w:rPr>
      </w:pPr>
      <w:r>
        <w:rPr>
          <w:rFonts w:hint="eastAsia" w:ascii="宋体" w:hAnsi="宋体"/>
          <w:kern w:val="0"/>
          <w:szCs w:val="21"/>
        </w:rPr>
        <w:t>附：法定代表人身份证明扫描件（双面）</w:t>
      </w:r>
    </w:p>
    <w:p>
      <w:pPr>
        <w:pStyle w:val="3"/>
        <w:keepNext w:val="0"/>
        <w:keepLines w:val="0"/>
        <w:pageBreakBefore w:val="0"/>
        <w:widowControl w:val="0"/>
        <w:kinsoku/>
        <w:overflowPunct/>
        <w:topLinePunct w:val="0"/>
        <w:bidi w:val="0"/>
        <w:spacing w:after="0" w:line="700" w:lineRule="exact"/>
        <w:textAlignment w:val="auto"/>
        <w:rPr>
          <w:rFonts w:ascii="宋体" w:hAnsi="宋体"/>
          <w:szCs w:val="21"/>
        </w:rPr>
      </w:pPr>
    </w:p>
    <w:p>
      <w:pPr>
        <w:keepNext w:val="0"/>
        <w:keepLines w:val="0"/>
        <w:pageBreakBefore w:val="0"/>
        <w:widowControl w:val="0"/>
        <w:tabs>
          <w:tab w:val="left" w:pos="5475"/>
        </w:tabs>
        <w:kinsoku/>
        <w:overflowPunct/>
        <w:topLinePunct w:val="0"/>
        <w:autoSpaceDE w:val="0"/>
        <w:autoSpaceDN w:val="0"/>
        <w:bidi w:val="0"/>
        <w:adjustRightInd w:val="0"/>
        <w:snapToGrid w:val="0"/>
        <w:spacing w:line="700" w:lineRule="exact"/>
        <w:jc w:val="left"/>
        <w:textAlignment w:val="auto"/>
        <w:rPr>
          <w:rFonts w:ascii="宋体" w:hAnsi="宋体"/>
          <w:kern w:val="0"/>
          <w:sz w:val="20"/>
          <w:szCs w:val="20"/>
        </w:rPr>
      </w:pPr>
    </w:p>
    <w:p>
      <w:pPr>
        <w:keepNext w:val="0"/>
        <w:keepLines w:val="0"/>
        <w:pageBreakBefore w:val="0"/>
        <w:widowControl w:val="0"/>
        <w:tabs>
          <w:tab w:val="left" w:pos="5460"/>
        </w:tabs>
        <w:kinsoku/>
        <w:overflowPunct/>
        <w:topLinePunct w:val="0"/>
        <w:autoSpaceDE w:val="0"/>
        <w:autoSpaceDN w:val="0"/>
        <w:bidi w:val="0"/>
        <w:adjustRightInd w:val="0"/>
        <w:snapToGrid w:val="0"/>
        <w:spacing w:line="700" w:lineRule="exact"/>
        <w:ind w:firstLine="2100"/>
        <w:jc w:val="right"/>
        <w:textAlignment w:val="auto"/>
        <w:rPr>
          <w:rFonts w:ascii="宋体" w:hAnsi="宋体"/>
          <w:kern w:val="0"/>
          <w:sz w:val="20"/>
          <w:szCs w:val="20"/>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pPr>
        <w:keepNext w:val="0"/>
        <w:keepLines w:val="0"/>
        <w:pageBreakBefore w:val="0"/>
        <w:widowControl w:val="0"/>
        <w:tabs>
          <w:tab w:val="left" w:pos="4935"/>
          <w:tab w:val="left" w:pos="5460"/>
          <w:tab w:val="left" w:pos="6400"/>
        </w:tabs>
        <w:kinsoku/>
        <w:wordWrap w:val="0"/>
        <w:overflowPunct/>
        <w:topLinePunct w:val="0"/>
        <w:autoSpaceDE w:val="0"/>
        <w:autoSpaceDN w:val="0"/>
        <w:bidi w:val="0"/>
        <w:adjustRightInd w:val="0"/>
        <w:snapToGrid w:val="0"/>
        <w:spacing w:line="700" w:lineRule="exact"/>
        <w:ind w:firstLine="3780"/>
        <w:jc w:val="right"/>
        <w:textAlignment w:val="auto"/>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pPr>
        <w:keepNext w:val="0"/>
        <w:keepLines w:val="0"/>
        <w:pageBreakBefore w:val="0"/>
        <w:widowControl w:val="0"/>
        <w:kinsoku/>
        <w:overflowPunct/>
        <w:topLinePunct w:val="0"/>
        <w:autoSpaceDE w:val="0"/>
        <w:autoSpaceDN w:val="0"/>
        <w:bidi w:val="0"/>
        <w:adjustRightInd w:val="0"/>
        <w:snapToGrid w:val="0"/>
        <w:spacing w:line="700" w:lineRule="exact"/>
        <w:jc w:val="left"/>
        <w:textAlignment w:val="auto"/>
        <w:rPr>
          <w:rFonts w:ascii="宋体" w:hAnsi="宋体"/>
          <w:kern w:val="0"/>
        </w:rPr>
      </w:pPr>
    </w:p>
    <w:p>
      <w:pPr>
        <w:keepNext w:val="0"/>
        <w:keepLines w:val="0"/>
        <w:pageBreakBefore w:val="0"/>
        <w:widowControl w:val="0"/>
        <w:kinsoku/>
        <w:overflowPunct/>
        <w:topLinePunct w:val="0"/>
        <w:bidi w:val="0"/>
        <w:spacing w:line="700" w:lineRule="exact"/>
        <w:ind w:firstLine="420" w:firstLineChars="200"/>
        <w:textAlignment w:val="auto"/>
        <w:rPr>
          <w:rFonts w:ascii="宋体" w:hAnsi="宋体"/>
        </w:rPr>
      </w:pPr>
      <w:r>
        <w:rPr>
          <w:rFonts w:ascii="宋体" w:hAnsi="宋体"/>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snapToGrid w:val="0"/>
          <w:kern w:val="0"/>
          <w:sz w:val="32"/>
          <w:szCs w:val="32"/>
        </w:rPr>
      </w:pPr>
      <w:r>
        <w:rPr>
          <w:rFonts w:ascii="宋体" w:hAnsi="宋体"/>
          <w:kern w:val="0"/>
        </w:rPr>
        <w:br w:type="page"/>
      </w:r>
      <w:r>
        <w:rPr>
          <w:rFonts w:ascii="宋体" w:hAnsi="宋体"/>
          <w:snapToGrid w:val="0"/>
          <w:kern w:val="0"/>
          <w:sz w:val="32"/>
          <w:szCs w:val="32"/>
        </w:rPr>
        <w:t>授权委托书</w:t>
      </w:r>
    </w:p>
    <w:p>
      <w:pPr>
        <w:pStyle w:val="3"/>
      </w:pPr>
    </w:p>
    <w:p>
      <w:pPr>
        <w:keepNext w:val="0"/>
        <w:keepLines w:val="0"/>
        <w:pageBreakBefore w:val="0"/>
        <w:widowControl w:val="0"/>
        <w:tabs>
          <w:tab w:val="left" w:pos="1680"/>
          <w:tab w:val="left" w:pos="4215"/>
          <w:tab w:val="left" w:pos="4305"/>
          <w:tab w:val="left" w:pos="8000"/>
        </w:tabs>
        <w:kinsoku/>
        <w:overflowPunct/>
        <w:topLinePunct w:val="0"/>
        <w:autoSpaceDE w:val="0"/>
        <w:autoSpaceDN w:val="0"/>
        <w:bidi w:val="0"/>
        <w:adjustRightInd w:val="0"/>
        <w:snapToGrid w:val="0"/>
        <w:spacing w:line="700" w:lineRule="exact"/>
        <w:ind w:firstLine="420"/>
        <w:jc w:val="left"/>
        <w:textAlignment w:val="auto"/>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pPr>
        <w:keepNext w:val="0"/>
        <w:keepLines w:val="0"/>
        <w:pageBreakBefore w:val="0"/>
        <w:widowControl w:val="0"/>
        <w:tabs>
          <w:tab w:val="left" w:pos="1680"/>
          <w:tab w:val="left" w:pos="4200"/>
          <w:tab w:val="left" w:pos="4305"/>
          <w:tab w:val="left" w:pos="8000"/>
        </w:tabs>
        <w:kinsoku/>
        <w:overflowPunct/>
        <w:topLinePunct w:val="0"/>
        <w:autoSpaceDE w:val="0"/>
        <w:autoSpaceDN w:val="0"/>
        <w:bidi w:val="0"/>
        <w:adjustRightInd w:val="0"/>
        <w:snapToGrid w:val="0"/>
        <w:spacing w:line="700" w:lineRule="exact"/>
        <w:ind w:firstLine="420"/>
        <w:textAlignment w:val="auto"/>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pPr>
        <w:keepNext w:val="0"/>
        <w:keepLines w:val="0"/>
        <w:pageBreakBefore w:val="0"/>
        <w:widowControl w:val="0"/>
        <w:tabs>
          <w:tab w:val="left" w:pos="1680"/>
          <w:tab w:val="left" w:pos="4200"/>
          <w:tab w:val="left" w:pos="4305"/>
          <w:tab w:val="left" w:pos="8000"/>
        </w:tabs>
        <w:kinsoku/>
        <w:overflowPunct/>
        <w:topLinePunct w:val="0"/>
        <w:autoSpaceDE w:val="0"/>
        <w:autoSpaceDN w:val="0"/>
        <w:bidi w:val="0"/>
        <w:adjustRightInd w:val="0"/>
        <w:snapToGrid w:val="0"/>
        <w:spacing w:line="700" w:lineRule="exact"/>
        <w:ind w:firstLine="420"/>
        <w:textAlignment w:val="auto"/>
        <w:rPr>
          <w:rFonts w:ascii="宋体" w:hAnsi="宋体"/>
          <w:kern w:val="0"/>
          <w:szCs w:val="21"/>
        </w:rPr>
      </w:pPr>
      <w:r>
        <w:rPr>
          <w:rFonts w:ascii="宋体" w:hAnsi="宋体"/>
          <w:kern w:val="0"/>
          <w:szCs w:val="21"/>
        </w:rPr>
        <w:t>代理人无转委托权。</w:t>
      </w:r>
    </w:p>
    <w:p>
      <w:pPr>
        <w:keepNext w:val="0"/>
        <w:keepLines w:val="0"/>
        <w:pageBreakBefore w:val="0"/>
        <w:widowControl w:val="0"/>
        <w:tabs>
          <w:tab w:val="left" w:pos="1680"/>
          <w:tab w:val="left" w:pos="4200"/>
          <w:tab w:val="left" w:pos="4305"/>
          <w:tab w:val="left" w:pos="8000"/>
        </w:tabs>
        <w:kinsoku/>
        <w:overflowPunct/>
        <w:topLinePunct w:val="0"/>
        <w:autoSpaceDE w:val="0"/>
        <w:autoSpaceDN w:val="0"/>
        <w:bidi w:val="0"/>
        <w:adjustRightInd w:val="0"/>
        <w:snapToGrid w:val="0"/>
        <w:spacing w:line="700" w:lineRule="exact"/>
        <w:ind w:firstLine="420"/>
        <w:textAlignment w:val="auto"/>
        <w:rPr>
          <w:rFonts w:ascii="宋体" w:hAnsi="宋体"/>
          <w:kern w:val="0"/>
          <w:szCs w:val="21"/>
        </w:rPr>
      </w:pPr>
    </w:p>
    <w:p>
      <w:pPr>
        <w:keepNext w:val="0"/>
        <w:keepLines w:val="0"/>
        <w:pageBreakBefore w:val="0"/>
        <w:widowControl w:val="0"/>
        <w:tabs>
          <w:tab w:val="left" w:pos="1680"/>
          <w:tab w:val="left" w:pos="4200"/>
          <w:tab w:val="left" w:pos="4305"/>
          <w:tab w:val="left" w:pos="8000"/>
        </w:tabs>
        <w:kinsoku/>
        <w:overflowPunct/>
        <w:topLinePunct w:val="0"/>
        <w:autoSpaceDE w:val="0"/>
        <w:autoSpaceDN w:val="0"/>
        <w:bidi w:val="0"/>
        <w:adjustRightInd w:val="0"/>
        <w:snapToGrid w:val="0"/>
        <w:spacing w:line="700" w:lineRule="exact"/>
        <w:ind w:firstLine="420"/>
        <w:textAlignment w:val="auto"/>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keepNext w:val="0"/>
        <w:keepLines w:val="0"/>
        <w:pageBreakBefore w:val="0"/>
        <w:widowControl w:val="0"/>
        <w:tabs>
          <w:tab w:val="left" w:pos="6300"/>
        </w:tabs>
        <w:kinsoku/>
        <w:overflowPunct/>
        <w:topLinePunct w:val="0"/>
        <w:autoSpaceDE w:val="0"/>
        <w:autoSpaceDN w:val="0"/>
        <w:bidi w:val="0"/>
        <w:adjustRightInd w:val="0"/>
        <w:snapToGrid w:val="0"/>
        <w:spacing w:line="700" w:lineRule="exact"/>
        <w:ind w:firstLine="420" w:firstLineChars="200"/>
        <w:jc w:val="left"/>
        <w:textAlignment w:val="auto"/>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keepNext w:val="0"/>
        <w:keepLines w:val="0"/>
        <w:pageBreakBefore w:val="0"/>
        <w:widowControl w:val="0"/>
        <w:tabs>
          <w:tab w:val="left" w:pos="5260"/>
        </w:tabs>
        <w:kinsoku/>
        <w:overflowPunct/>
        <w:topLinePunct w:val="0"/>
        <w:autoSpaceDE w:val="0"/>
        <w:autoSpaceDN w:val="0"/>
        <w:bidi w:val="0"/>
        <w:adjustRightInd w:val="0"/>
        <w:snapToGrid w:val="0"/>
        <w:spacing w:line="700" w:lineRule="exact"/>
        <w:ind w:firstLine="420" w:firstLineChars="200"/>
        <w:jc w:val="left"/>
        <w:textAlignment w:val="auto"/>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keepNext w:val="0"/>
        <w:keepLines w:val="0"/>
        <w:pageBreakBefore w:val="0"/>
        <w:widowControl w:val="0"/>
        <w:tabs>
          <w:tab w:val="left" w:pos="5260"/>
        </w:tabs>
        <w:kinsoku/>
        <w:overflowPunct/>
        <w:topLinePunct w:val="0"/>
        <w:autoSpaceDE w:val="0"/>
        <w:autoSpaceDN w:val="0"/>
        <w:bidi w:val="0"/>
        <w:adjustRightInd w:val="0"/>
        <w:snapToGrid w:val="0"/>
        <w:spacing w:line="700" w:lineRule="exact"/>
        <w:ind w:firstLine="420" w:firstLineChars="200"/>
        <w:jc w:val="left"/>
        <w:textAlignment w:val="auto"/>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w:t>
      </w:r>
    </w:p>
    <w:p>
      <w:pPr>
        <w:keepNext w:val="0"/>
        <w:keepLines w:val="0"/>
        <w:pageBreakBefore w:val="0"/>
        <w:widowControl w:val="0"/>
        <w:tabs>
          <w:tab w:val="left" w:pos="6825"/>
        </w:tabs>
        <w:kinsoku/>
        <w:overflowPunct/>
        <w:topLinePunct w:val="0"/>
        <w:autoSpaceDE w:val="0"/>
        <w:autoSpaceDN w:val="0"/>
        <w:bidi w:val="0"/>
        <w:adjustRightInd w:val="0"/>
        <w:snapToGrid w:val="0"/>
        <w:spacing w:line="700" w:lineRule="exact"/>
        <w:ind w:firstLine="420" w:firstLineChars="200"/>
        <w:jc w:val="left"/>
        <w:textAlignment w:val="auto"/>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keepNext w:val="0"/>
        <w:keepLines w:val="0"/>
        <w:pageBreakBefore w:val="0"/>
        <w:widowControl w:val="0"/>
        <w:tabs>
          <w:tab w:val="left" w:pos="6825"/>
        </w:tabs>
        <w:kinsoku/>
        <w:overflowPunct/>
        <w:topLinePunct w:val="0"/>
        <w:autoSpaceDE w:val="0"/>
        <w:autoSpaceDN w:val="0"/>
        <w:bidi w:val="0"/>
        <w:adjustRightInd w:val="0"/>
        <w:snapToGrid w:val="0"/>
        <w:spacing w:line="700" w:lineRule="exact"/>
        <w:ind w:firstLine="420" w:firstLineChars="200"/>
        <w:jc w:val="left"/>
        <w:textAlignment w:val="auto"/>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pPr>
        <w:keepNext w:val="0"/>
        <w:keepLines w:val="0"/>
        <w:pageBreakBefore w:val="0"/>
        <w:widowControl w:val="0"/>
        <w:tabs>
          <w:tab w:val="left" w:pos="5260"/>
        </w:tabs>
        <w:kinsoku/>
        <w:overflowPunct/>
        <w:topLinePunct w:val="0"/>
        <w:autoSpaceDE w:val="0"/>
        <w:autoSpaceDN w:val="0"/>
        <w:bidi w:val="0"/>
        <w:adjustRightInd w:val="0"/>
        <w:snapToGrid w:val="0"/>
        <w:spacing w:line="700" w:lineRule="exact"/>
        <w:ind w:firstLine="420" w:firstLineChars="200"/>
        <w:jc w:val="left"/>
        <w:textAlignment w:val="auto"/>
        <w:rPr>
          <w:rFonts w:ascii="宋体" w:hAnsi="宋体"/>
          <w:kern w:val="0"/>
          <w:szCs w:val="21"/>
        </w:rPr>
      </w:pPr>
      <w:r>
        <w:rPr>
          <w:rFonts w:hint="eastAsia" w:ascii="宋体" w:hAnsi="宋体"/>
          <w:kern w:val="0"/>
          <w:szCs w:val="21"/>
        </w:rPr>
        <w:t xml:space="preserve">委托代理人电话（手机）：                                          </w:t>
      </w:r>
    </w:p>
    <w:p>
      <w:pPr>
        <w:keepNext w:val="0"/>
        <w:keepLines w:val="0"/>
        <w:pageBreakBefore w:val="0"/>
        <w:widowControl w:val="0"/>
        <w:kinsoku/>
        <w:overflowPunct/>
        <w:topLinePunct w:val="0"/>
        <w:autoSpaceDE w:val="0"/>
        <w:autoSpaceDN w:val="0"/>
        <w:bidi w:val="0"/>
        <w:adjustRightInd w:val="0"/>
        <w:snapToGrid w:val="0"/>
        <w:spacing w:line="700" w:lineRule="exact"/>
        <w:ind w:firstLine="810" w:firstLineChars="386"/>
        <w:jc w:val="left"/>
        <w:textAlignment w:val="auto"/>
        <w:rPr>
          <w:rFonts w:ascii="宋体" w:hAnsi="宋体"/>
          <w:kern w:val="0"/>
          <w:szCs w:val="21"/>
        </w:rPr>
      </w:pPr>
      <w:r>
        <w:rPr>
          <w:rFonts w:hint="eastAsia" w:ascii="宋体" w:hAnsi="宋体"/>
          <w:kern w:val="0"/>
          <w:szCs w:val="21"/>
        </w:rPr>
        <w:t>附：法定代表人和委托代理人身份证明扫描件（双面）</w:t>
      </w:r>
    </w:p>
    <w:p>
      <w:pPr>
        <w:keepNext w:val="0"/>
        <w:keepLines w:val="0"/>
        <w:pageBreakBefore w:val="0"/>
        <w:widowControl w:val="0"/>
        <w:tabs>
          <w:tab w:val="left" w:pos="4005"/>
          <w:tab w:val="left" w:pos="4100"/>
          <w:tab w:val="left" w:pos="5040"/>
        </w:tabs>
        <w:kinsoku/>
        <w:wordWrap w:val="0"/>
        <w:overflowPunct/>
        <w:topLinePunct w:val="0"/>
        <w:autoSpaceDE w:val="0"/>
        <w:autoSpaceDN w:val="0"/>
        <w:bidi w:val="0"/>
        <w:adjustRightInd w:val="0"/>
        <w:snapToGrid w:val="0"/>
        <w:spacing w:line="700" w:lineRule="exact"/>
        <w:ind w:firstLine="3780"/>
        <w:jc w:val="right"/>
        <w:textAlignment w:val="auto"/>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r>
        <w:rPr>
          <w:rFonts w:hint="eastAsia" w:ascii="宋体" w:hAnsi="宋体"/>
          <w:kern w:val="0"/>
          <w:szCs w:val="21"/>
        </w:rPr>
        <w:t xml:space="preserve"> </w:t>
      </w:r>
    </w:p>
    <w:p>
      <w:pPr>
        <w:keepNext w:val="0"/>
        <w:keepLines w:val="0"/>
        <w:pageBreakBefore w:val="0"/>
        <w:widowControl w:val="0"/>
        <w:tabs>
          <w:tab w:val="left" w:pos="1680"/>
          <w:tab w:val="left" w:pos="4215"/>
          <w:tab w:val="left" w:pos="4305"/>
          <w:tab w:val="left" w:pos="8000"/>
        </w:tabs>
        <w:kinsoku/>
        <w:overflowPunct/>
        <w:topLinePunct w:val="0"/>
        <w:autoSpaceDE w:val="0"/>
        <w:autoSpaceDN w:val="0"/>
        <w:bidi w:val="0"/>
        <w:adjustRightInd w:val="0"/>
        <w:snapToGrid w:val="0"/>
        <w:spacing w:line="700" w:lineRule="exact"/>
        <w:ind w:firstLine="420" w:firstLineChars="200"/>
        <w:textAlignment w:val="auto"/>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keepNext w:val="0"/>
        <w:keepLines w:val="0"/>
        <w:pageBreakBefore w:val="0"/>
        <w:widowControl w:val="0"/>
        <w:tabs>
          <w:tab w:val="left" w:pos="1680"/>
          <w:tab w:val="left" w:pos="4215"/>
          <w:tab w:val="left" w:pos="4305"/>
          <w:tab w:val="left" w:pos="8000"/>
        </w:tabs>
        <w:kinsoku/>
        <w:overflowPunct/>
        <w:topLinePunct w:val="0"/>
        <w:autoSpaceDE w:val="0"/>
        <w:autoSpaceDN w:val="0"/>
        <w:bidi w:val="0"/>
        <w:adjustRightInd w:val="0"/>
        <w:snapToGrid w:val="0"/>
        <w:spacing w:line="700" w:lineRule="exact"/>
        <w:ind w:firstLine="420" w:firstLineChars="200"/>
        <w:textAlignment w:val="auto"/>
        <w:rPr>
          <w:rFonts w:ascii="宋体" w:hAnsi="宋体"/>
        </w:rPr>
      </w:pPr>
      <w:r>
        <w:rPr>
          <w:rFonts w:hint="eastAsia" w:ascii="宋体" w:hAnsi="宋体"/>
          <w:kern w:val="0"/>
          <w:szCs w:val="21"/>
        </w:rPr>
        <w:t>2.</w:t>
      </w:r>
      <w:r>
        <w:rPr>
          <w:rFonts w:hint="eastAsia" w:ascii="宋体" w:hAnsi="宋体"/>
        </w:rPr>
        <w:t>授权委托书</w:t>
      </w:r>
      <w:r>
        <w:rPr>
          <w:rFonts w:ascii="宋体" w:hAnsi="宋体"/>
        </w:rPr>
        <w:t>需按上述格式填写完整，不可缺少内容。在此基础上增加内容的不影响其有效性。</w:t>
      </w:r>
    </w:p>
    <w:p>
      <w:pPr>
        <w:pStyle w:val="3"/>
        <w:rPr>
          <w:rFonts w:ascii="宋体" w:hAnsi="宋体"/>
          <w:snapToGrid w:val="0"/>
          <w:kern w:val="0"/>
          <w:sz w:val="32"/>
          <w:szCs w:val="32"/>
        </w:rPr>
      </w:pPr>
      <w:bookmarkStart w:id="577" w:name="_Toc277082647"/>
      <w:bookmarkStart w:id="578" w:name="_Toc224103499"/>
      <w:bookmarkStart w:id="579" w:name="_Toc287607871"/>
      <w:bookmarkStart w:id="580" w:name="_Toc287620818"/>
      <w:bookmarkStart w:id="581" w:name="_Toc430530533"/>
    </w:p>
    <w:bookmarkEnd w:id="577"/>
    <w:bookmarkEnd w:id="578"/>
    <w:bookmarkEnd w:id="579"/>
    <w:bookmarkEnd w:id="580"/>
    <w:bookmarkEnd w:id="581"/>
    <w:p>
      <w:pPr>
        <w:pStyle w:val="6"/>
        <w:spacing w:line="360" w:lineRule="auto"/>
        <w:jc w:val="center"/>
        <w:rPr>
          <w:rFonts w:hint="eastAsia" w:ascii="宋体" w:hAnsi="宋体"/>
          <w:b w:val="0"/>
          <w:bCs w:val="0"/>
          <w:sz w:val="32"/>
          <w:szCs w:val="32"/>
        </w:rPr>
        <w:sectPr>
          <w:footerReference r:id="rId11" w:type="first"/>
          <w:headerReference r:id="rId9" w:type="default"/>
          <w:footerReference r:id="rId10" w:type="default"/>
          <w:pgSz w:w="11906" w:h="16838"/>
          <w:pgMar w:top="1247" w:right="1133" w:bottom="1247" w:left="993" w:header="851" w:footer="992" w:gutter="0"/>
          <w:cols w:space="720" w:num="1"/>
          <w:titlePg/>
          <w:docGrid w:linePitch="312" w:charSpace="0"/>
        </w:sectPr>
      </w:pPr>
      <w:bookmarkStart w:id="582" w:name="_Toc6386"/>
      <w:bookmarkStart w:id="583" w:name="_Toc224103500"/>
      <w:bookmarkStart w:id="584" w:name="_Toc287607872"/>
      <w:bookmarkStart w:id="585" w:name="_Toc287620819"/>
      <w:bookmarkStart w:id="586" w:name="_Toc430530534"/>
      <w:bookmarkStart w:id="587" w:name="_Toc6971"/>
    </w:p>
    <w:p>
      <w:pPr>
        <w:pStyle w:val="7"/>
        <w:pageBreakBefore w:val="0"/>
        <w:widowControl w:val="0"/>
        <w:kinsoku/>
        <w:wordWrap/>
        <w:overflowPunct/>
        <w:topLinePunct w:val="0"/>
        <w:bidi w:val="0"/>
        <w:spacing w:before="0" w:after="0" w:line="700" w:lineRule="exact"/>
        <w:jc w:val="center"/>
        <w:textAlignment w:val="auto"/>
        <w:rPr>
          <w:rFonts w:ascii="宋体" w:hAnsi="宋体"/>
          <w:snapToGrid w:val="0"/>
          <w:kern w:val="0"/>
          <w:sz w:val="32"/>
          <w:szCs w:val="32"/>
        </w:rPr>
      </w:pPr>
      <w:bookmarkStart w:id="588" w:name="_Toc287607870"/>
      <w:bookmarkStart w:id="589" w:name="_Toc277082646"/>
      <w:bookmarkStart w:id="590" w:name="_Toc224103498"/>
      <w:bookmarkStart w:id="591" w:name="_Toc287620817"/>
      <w:bookmarkStart w:id="592" w:name="_Toc12381"/>
      <w:bookmarkStart w:id="593" w:name="_Toc3760"/>
      <w:r>
        <w:rPr>
          <w:rFonts w:ascii="宋体" w:hAnsi="宋体"/>
          <w:b w:val="0"/>
          <w:bCs w:val="0"/>
        </w:rPr>
        <w:t>（四）</w:t>
      </w:r>
      <w:bookmarkEnd w:id="588"/>
      <w:bookmarkEnd w:id="589"/>
      <w:bookmarkEnd w:id="590"/>
      <w:bookmarkEnd w:id="591"/>
      <w:r>
        <w:rPr>
          <w:rFonts w:hint="eastAsia" w:ascii="宋体" w:hAnsi="宋体"/>
          <w:b w:val="0"/>
          <w:bCs w:val="0"/>
        </w:rPr>
        <w:t>低价风险担保提交承诺书</w:t>
      </w:r>
      <w:bookmarkEnd w:id="592"/>
      <w:bookmarkEnd w:id="593"/>
    </w:p>
    <w:p>
      <w:pPr>
        <w:pageBreakBefore w:val="0"/>
        <w:widowControl w:val="0"/>
        <w:kinsoku/>
        <w:wordWrap/>
        <w:overflowPunct/>
        <w:topLinePunct w:val="0"/>
        <w:autoSpaceDE w:val="0"/>
        <w:autoSpaceDN w:val="0"/>
        <w:bidi w:val="0"/>
        <w:adjustRightInd w:val="0"/>
        <w:snapToGrid w:val="0"/>
        <w:spacing w:line="700" w:lineRule="exact"/>
        <w:jc w:val="center"/>
        <w:textAlignment w:val="auto"/>
        <w:rPr>
          <w:rFonts w:ascii="宋体" w:hAnsi="宋体"/>
          <w:snapToGrid w:val="0"/>
          <w:kern w:val="0"/>
          <w:sz w:val="32"/>
          <w:szCs w:val="32"/>
        </w:rPr>
      </w:pPr>
      <w:r>
        <w:rPr>
          <w:rFonts w:hint="eastAsia" w:ascii="宋体" w:hAnsi="宋体"/>
          <w:snapToGrid w:val="0"/>
          <w:kern w:val="0"/>
          <w:sz w:val="32"/>
          <w:szCs w:val="32"/>
        </w:rPr>
        <w:t>（投标报价低于招标项目最高限价的85%时采用）</w:t>
      </w:r>
    </w:p>
    <w:p>
      <w:pPr>
        <w:pageBreakBefore w:val="0"/>
        <w:widowControl w:val="0"/>
        <w:kinsoku/>
        <w:wordWrap/>
        <w:overflowPunct/>
        <w:topLinePunct w:val="0"/>
        <w:autoSpaceDE w:val="0"/>
        <w:autoSpaceDN w:val="0"/>
        <w:bidi w:val="0"/>
        <w:adjustRightInd w:val="0"/>
        <w:snapToGrid w:val="0"/>
        <w:spacing w:line="700" w:lineRule="exact"/>
        <w:jc w:val="center"/>
        <w:textAlignment w:val="auto"/>
        <w:rPr>
          <w:rFonts w:ascii="宋体" w:hAnsi="宋体"/>
          <w:snapToGrid w:val="0"/>
          <w:kern w:val="0"/>
          <w:sz w:val="32"/>
          <w:szCs w:val="32"/>
        </w:rPr>
      </w:pPr>
    </w:p>
    <w:p>
      <w:pPr>
        <w:pageBreakBefore w:val="0"/>
        <w:widowControl w:val="0"/>
        <w:kinsoku/>
        <w:wordWrap/>
        <w:overflowPunct/>
        <w:topLinePunct w:val="0"/>
        <w:autoSpaceDE w:val="0"/>
        <w:autoSpaceDN w:val="0"/>
        <w:bidi w:val="0"/>
        <w:adjustRightInd w:val="0"/>
        <w:snapToGrid w:val="0"/>
        <w:spacing w:line="700" w:lineRule="exact"/>
        <w:textAlignment w:val="auto"/>
        <w:rPr>
          <w:rFonts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val="en-US" w:eastAsia="zh-CN"/>
        </w:rPr>
        <w:t xml:space="preserve">   </w:t>
      </w:r>
      <w:r>
        <w:rPr>
          <w:rFonts w:hint="eastAsia" w:ascii="宋体" w:hAnsi="宋体" w:cs="宋体"/>
          <w:snapToGrid w:val="0"/>
          <w:kern w:val="0"/>
          <w:szCs w:val="21"/>
          <w:u w:val="single"/>
        </w:rPr>
        <w:t>（招标人名称）</w:t>
      </w:r>
      <w:r>
        <w:rPr>
          <w:rFonts w:hint="eastAsia" w:ascii="宋体" w:hAnsi="宋体" w:cs="宋体"/>
          <w:snapToGrid w:val="0"/>
          <w:kern w:val="0"/>
          <w:szCs w:val="21"/>
        </w:rPr>
        <w:t>：</w:t>
      </w:r>
    </w:p>
    <w:p>
      <w:pPr>
        <w:pageBreakBefore w:val="0"/>
        <w:widowControl w:val="0"/>
        <w:kinsoku/>
        <w:wordWrap/>
        <w:overflowPunct/>
        <w:topLinePunct w:val="0"/>
        <w:autoSpaceDE w:val="0"/>
        <w:autoSpaceDN w:val="0"/>
        <w:bidi w:val="0"/>
        <w:adjustRightInd w:val="0"/>
        <w:snapToGrid w:val="0"/>
        <w:spacing w:line="700" w:lineRule="exact"/>
        <w:ind w:firstLine="420" w:firstLineChars="200"/>
        <w:textAlignment w:val="auto"/>
        <w:rPr>
          <w:rFonts w:ascii="宋体" w:hAnsi="宋体" w:cs="宋体"/>
          <w:snapToGrid w:val="0"/>
          <w:kern w:val="0"/>
          <w:szCs w:val="21"/>
        </w:rPr>
      </w:pPr>
      <w:r>
        <w:rPr>
          <w:rFonts w:hint="eastAsia" w:ascii="宋体" w:hAnsi="宋体" w:cs="宋体"/>
          <w:snapToGrid w:val="0"/>
          <w:kern w:val="0"/>
          <w:szCs w:val="21"/>
        </w:rPr>
        <w:t>我公司</w:t>
      </w:r>
      <w:r>
        <w:rPr>
          <w:rFonts w:hint="eastAsia" w:ascii="宋体" w:hAnsi="宋体" w:cs="宋体"/>
          <w:snapToGrid w:val="0"/>
          <w:kern w:val="0"/>
          <w:szCs w:val="21"/>
          <w:u w:val="single"/>
        </w:rPr>
        <w:t xml:space="preserve">        （投标人名称）</w:t>
      </w:r>
      <w:r>
        <w:rPr>
          <w:rFonts w:hint="eastAsia" w:ascii="宋体" w:hAnsi="宋体" w:cs="宋体"/>
          <w:snapToGrid w:val="0"/>
          <w:kern w:val="0"/>
          <w:szCs w:val="21"/>
        </w:rPr>
        <w:t>参加了你单位</w:t>
      </w:r>
      <w:r>
        <w:rPr>
          <w:rFonts w:hint="eastAsia" w:ascii="宋体" w:hAnsi="宋体" w:cs="宋体"/>
          <w:snapToGrid w:val="0"/>
          <w:kern w:val="0"/>
          <w:szCs w:val="21"/>
          <w:u w:val="single"/>
        </w:rPr>
        <w:t xml:space="preserve">        （项目名称）</w:t>
      </w:r>
      <w:r>
        <w:rPr>
          <w:rFonts w:hint="eastAsia" w:ascii="宋体" w:hAnsi="宋体" w:cs="宋体"/>
          <w:snapToGrid w:val="0"/>
          <w:kern w:val="0"/>
          <w:szCs w:val="21"/>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pPr>
        <w:pageBreakBefore w:val="0"/>
        <w:widowControl w:val="0"/>
        <w:kinsoku/>
        <w:wordWrap/>
        <w:overflowPunct/>
        <w:topLinePunct w:val="0"/>
        <w:autoSpaceDE w:val="0"/>
        <w:autoSpaceDN w:val="0"/>
        <w:bidi w:val="0"/>
        <w:adjustRightInd w:val="0"/>
        <w:snapToGrid w:val="0"/>
        <w:spacing w:line="700" w:lineRule="exact"/>
        <w:ind w:firstLine="640"/>
        <w:textAlignment w:val="auto"/>
        <w:rPr>
          <w:rFonts w:ascii="宋体" w:hAnsi="宋体" w:cs="宋体"/>
          <w:snapToGrid w:val="0"/>
          <w:kern w:val="0"/>
          <w:szCs w:val="21"/>
        </w:rPr>
      </w:pPr>
    </w:p>
    <w:p>
      <w:pPr>
        <w:pageBreakBefore w:val="0"/>
        <w:widowControl w:val="0"/>
        <w:kinsoku/>
        <w:wordWrap/>
        <w:overflowPunct/>
        <w:topLinePunct w:val="0"/>
        <w:autoSpaceDE w:val="0"/>
        <w:autoSpaceDN w:val="0"/>
        <w:bidi w:val="0"/>
        <w:adjustRightInd w:val="0"/>
        <w:snapToGrid w:val="0"/>
        <w:spacing w:line="700" w:lineRule="exact"/>
        <w:ind w:firstLine="640"/>
        <w:textAlignment w:val="auto"/>
        <w:rPr>
          <w:rFonts w:ascii="宋体" w:hAnsi="宋体" w:cs="宋体"/>
          <w:snapToGrid w:val="0"/>
          <w:kern w:val="0"/>
          <w:szCs w:val="21"/>
        </w:rPr>
      </w:pPr>
      <w:r>
        <w:rPr>
          <w:rFonts w:hint="eastAsia" w:ascii="宋体" w:hAnsi="宋体" w:cs="宋体"/>
          <w:snapToGrid w:val="0"/>
          <w:kern w:val="0"/>
          <w:szCs w:val="21"/>
        </w:rPr>
        <w:t>特此承诺。</w:t>
      </w:r>
    </w:p>
    <w:p>
      <w:pPr>
        <w:pageBreakBefore w:val="0"/>
        <w:widowControl w:val="0"/>
        <w:kinsoku/>
        <w:wordWrap/>
        <w:overflowPunct/>
        <w:topLinePunct w:val="0"/>
        <w:autoSpaceDE w:val="0"/>
        <w:autoSpaceDN w:val="0"/>
        <w:bidi w:val="0"/>
        <w:adjustRightInd w:val="0"/>
        <w:snapToGrid w:val="0"/>
        <w:spacing w:line="700" w:lineRule="exact"/>
        <w:textAlignment w:val="auto"/>
        <w:rPr>
          <w:rFonts w:ascii="宋体" w:hAnsi="宋体" w:cs="宋体"/>
          <w:snapToGrid w:val="0"/>
          <w:kern w:val="0"/>
          <w:sz w:val="32"/>
          <w:szCs w:val="32"/>
        </w:rPr>
      </w:pPr>
    </w:p>
    <w:p>
      <w:pPr>
        <w:pageBreakBefore w:val="0"/>
        <w:widowControl w:val="0"/>
        <w:kinsoku/>
        <w:wordWrap/>
        <w:overflowPunct/>
        <w:topLinePunct w:val="0"/>
        <w:autoSpaceDE w:val="0"/>
        <w:autoSpaceDN w:val="0"/>
        <w:bidi w:val="0"/>
        <w:adjustRightInd w:val="0"/>
        <w:snapToGrid w:val="0"/>
        <w:spacing w:line="700" w:lineRule="exact"/>
        <w:ind w:firstLine="640"/>
        <w:textAlignment w:val="auto"/>
        <w:rPr>
          <w:rFonts w:ascii="宋体" w:hAnsi="宋体" w:cs="宋体"/>
          <w:snapToGrid w:val="0"/>
          <w:kern w:val="0"/>
          <w:sz w:val="32"/>
          <w:szCs w:val="32"/>
        </w:rPr>
      </w:pPr>
    </w:p>
    <w:p>
      <w:pPr>
        <w:pageBreakBefore w:val="0"/>
        <w:widowControl w:val="0"/>
        <w:tabs>
          <w:tab w:val="left" w:pos="4200"/>
          <w:tab w:val="left" w:pos="4620"/>
        </w:tabs>
        <w:kinsoku/>
        <w:wordWrap/>
        <w:overflowPunct/>
        <w:topLinePunct w:val="0"/>
        <w:autoSpaceDE w:val="0"/>
        <w:autoSpaceDN w:val="0"/>
        <w:bidi w:val="0"/>
        <w:adjustRightInd w:val="0"/>
        <w:snapToGrid w:val="0"/>
        <w:spacing w:line="700" w:lineRule="exact"/>
        <w:ind w:firstLine="420" w:firstLineChars="200"/>
        <w:jc w:val="left"/>
        <w:textAlignment w:val="auto"/>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pageBreakBefore w:val="0"/>
        <w:widowControl w:val="0"/>
        <w:tabs>
          <w:tab w:val="left" w:pos="6300"/>
        </w:tabs>
        <w:kinsoku/>
        <w:wordWrap/>
        <w:overflowPunct/>
        <w:topLinePunct w:val="0"/>
        <w:autoSpaceDE w:val="0"/>
        <w:autoSpaceDN w:val="0"/>
        <w:bidi w:val="0"/>
        <w:adjustRightInd w:val="0"/>
        <w:snapToGrid w:val="0"/>
        <w:spacing w:line="700" w:lineRule="exact"/>
        <w:ind w:firstLine="420" w:firstLineChars="200"/>
        <w:jc w:val="left"/>
        <w:textAlignment w:val="auto"/>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pageBreakBefore w:val="0"/>
        <w:widowControl w:val="0"/>
        <w:tabs>
          <w:tab w:val="left" w:pos="7140"/>
          <w:tab w:val="left" w:pos="7560"/>
          <w:tab w:val="left" w:pos="8300"/>
        </w:tabs>
        <w:kinsoku/>
        <w:wordWrap/>
        <w:overflowPunct/>
        <w:topLinePunct w:val="0"/>
        <w:autoSpaceDE w:val="0"/>
        <w:autoSpaceDN w:val="0"/>
        <w:bidi w:val="0"/>
        <w:adjustRightInd w:val="0"/>
        <w:spacing w:line="700" w:lineRule="exact"/>
        <w:ind w:firstLine="420" w:firstLineChars="200"/>
        <w:textAlignment w:val="auto"/>
        <w:rPr>
          <w:rFonts w:ascii="宋体" w:hAnsi="宋体"/>
          <w:snapToGrid w:val="0"/>
          <w:kern w:val="0"/>
          <w:szCs w:val="21"/>
        </w:rPr>
      </w:pPr>
    </w:p>
    <w:p>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kern w:val="0"/>
          <w:szCs w:val="21"/>
        </w:rPr>
      </w:pPr>
      <w:r>
        <w:rPr>
          <w:rFonts w:hint="eastAsia" w:ascii="宋体" w:hAnsi="宋体"/>
          <w:kern w:val="0"/>
          <w:szCs w:val="21"/>
          <w:u w:val="single"/>
        </w:rPr>
        <w:t xml:space="preserve">    </w:t>
      </w:r>
      <w:r>
        <w:rPr>
          <w:rFonts w:hint="eastAsia" w:ascii="宋体" w:hAnsi="宋体"/>
          <w:kern w:val="0"/>
          <w:szCs w:val="21"/>
          <w:u w:val="single"/>
          <w:lang w:val="en-US" w:eastAsia="zh-CN"/>
        </w:rPr>
        <w:t xml:space="preserve">    </w:t>
      </w:r>
      <w:r>
        <w:rPr>
          <w:rFonts w:ascii="宋体" w:hAnsi="宋体"/>
          <w:kern w:val="0"/>
          <w:szCs w:val="21"/>
        </w:rPr>
        <w:t>年</w:t>
      </w:r>
      <w:r>
        <w:rPr>
          <w:rFonts w:hint="eastAsia" w:ascii="宋体" w:hAnsi="宋体"/>
          <w:kern w:val="0"/>
          <w:szCs w:val="21"/>
          <w:u w:val="single"/>
        </w:rPr>
        <w:t xml:space="preserve">    </w:t>
      </w:r>
      <w:r>
        <w:rPr>
          <w:rFonts w:hint="eastAsia" w:ascii="宋体" w:hAnsi="宋体"/>
          <w:kern w:val="0"/>
          <w:szCs w:val="21"/>
          <w:u w:val="single"/>
          <w:lang w:val="en-US" w:eastAsia="zh-CN"/>
        </w:rPr>
        <w:t xml:space="preserve"> </w:t>
      </w:r>
      <w:r>
        <w:rPr>
          <w:rFonts w:ascii="宋体" w:hAnsi="宋体"/>
          <w:kern w:val="0"/>
          <w:szCs w:val="21"/>
        </w:rPr>
        <w:t>月</w:t>
      </w:r>
      <w:r>
        <w:rPr>
          <w:rFonts w:hint="eastAsia" w:ascii="宋体" w:hAnsi="宋体"/>
          <w:kern w:val="0"/>
          <w:szCs w:val="21"/>
          <w:u w:val="single"/>
        </w:rPr>
        <w:t xml:space="preserve">    </w:t>
      </w:r>
      <w:r>
        <w:rPr>
          <w:rFonts w:hint="eastAsia" w:ascii="宋体" w:hAnsi="宋体"/>
          <w:kern w:val="0"/>
          <w:szCs w:val="21"/>
          <w:u w:val="single"/>
          <w:lang w:val="en-US" w:eastAsia="zh-CN"/>
        </w:rPr>
        <w:t xml:space="preserve"> </w:t>
      </w:r>
      <w:r>
        <w:rPr>
          <w:rFonts w:ascii="宋体" w:hAnsi="宋体"/>
          <w:kern w:val="0"/>
          <w:szCs w:val="21"/>
        </w:rPr>
        <w:t>日</w:t>
      </w: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jc w:val="center"/>
        <w:rPr>
          <w:rFonts w:ascii="宋体" w:hAnsi="宋体"/>
          <w:snapToGrid w:val="0"/>
          <w:kern w:val="0"/>
          <w:sz w:val="32"/>
          <w:szCs w:val="32"/>
        </w:rPr>
      </w:pPr>
    </w:p>
    <w:p>
      <w:pPr>
        <w:pStyle w:val="3"/>
        <w:rPr>
          <w:rFonts w:ascii="宋体" w:hAnsi="宋体"/>
          <w:snapToGrid w:val="0"/>
          <w:kern w:val="0"/>
          <w:sz w:val="32"/>
          <w:szCs w:val="32"/>
        </w:rPr>
      </w:pPr>
      <w:r>
        <w:rPr>
          <w:rFonts w:ascii="宋体" w:hAnsi="宋体"/>
          <w:snapToGrid w:val="0"/>
          <w:kern w:val="0"/>
          <w:sz w:val="32"/>
          <w:szCs w:val="32"/>
        </w:rPr>
        <w:br w:type="page"/>
      </w:r>
    </w:p>
    <w:p>
      <w:pPr>
        <w:pStyle w:val="6"/>
        <w:spacing w:line="360" w:lineRule="auto"/>
        <w:jc w:val="center"/>
        <w:rPr>
          <w:rFonts w:hint="eastAsia" w:ascii="宋体" w:hAnsi="宋体"/>
          <w:b w:val="0"/>
          <w:bCs w:val="0"/>
          <w:sz w:val="32"/>
          <w:szCs w:val="32"/>
        </w:rPr>
        <w:sectPr>
          <w:pgSz w:w="11906" w:h="16838"/>
          <w:pgMar w:top="1247" w:right="1133" w:bottom="1247" w:left="993" w:header="851" w:footer="992" w:gutter="0"/>
          <w:cols w:space="720" w:num="1"/>
          <w:titlePg/>
          <w:docGrid w:linePitch="312" w:charSpace="0"/>
        </w:sectPr>
      </w:pPr>
    </w:p>
    <w:p>
      <w:pPr>
        <w:pStyle w:val="6"/>
        <w:spacing w:line="360" w:lineRule="auto"/>
        <w:jc w:val="center"/>
        <w:rPr>
          <w:rFonts w:ascii="宋体" w:hAnsi="宋体"/>
          <w:b w:val="0"/>
          <w:bCs w:val="0"/>
          <w:sz w:val="32"/>
          <w:szCs w:val="32"/>
        </w:rPr>
      </w:pPr>
      <w:r>
        <w:rPr>
          <w:rFonts w:hint="eastAsia" w:ascii="宋体" w:hAnsi="宋体"/>
          <w:b w:val="0"/>
          <w:bCs w:val="0"/>
          <w:sz w:val="32"/>
          <w:szCs w:val="32"/>
        </w:rPr>
        <w:t>二、经济部分</w:t>
      </w:r>
      <w:bookmarkEnd w:id="582"/>
      <w:bookmarkEnd w:id="583"/>
      <w:bookmarkEnd w:id="584"/>
      <w:bookmarkEnd w:id="585"/>
      <w:bookmarkEnd w:id="586"/>
      <w:bookmarkEnd w:id="587"/>
    </w:p>
    <w:p>
      <w:pPr>
        <w:spacing w:line="360" w:lineRule="auto"/>
        <w:jc w:val="center"/>
        <w:rPr>
          <w:rFonts w:ascii="宋体" w:hAnsi="宋体"/>
          <w:kern w:val="0"/>
          <w:sz w:val="32"/>
          <w:szCs w:val="32"/>
        </w:rPr>
      </w:pPr>
      <w:r>
        <w:rPr>
          <w:rFonts w:ascii="宋体" w:hAnsi="宋体"/>
          <w:kern w:val="0"/>
          <w:sz w:val="28"/>
          <w:szCs w:val="28"/>
        </w:rPr>
        <w:br w:type="page"/>
      </w: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经济部分</w:t>
      </w: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b/>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pPr>
        <w:tabs>
          <w:tab w:val="left" w:pos="3280"/>
          <w:tab w:val="left" w:pos="4680"/>
          <w:tab w:val="left" w:pos="608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日</w:t>
      </w:r>
    </w:p>
    <w:p>
      <w:pPr>
        <w:autoSpaceDE w:val="0"/>
        <w:autoSpaceDN w:val="0"/>
        <w:adjustRightInd w:val="0"/>
        <w:snapToGrid w:val="0"/>
        <w:spacing w:line="360" w:lineRule="auto"/>
        <w:jc w:val="left"/>
        <w:rPr>
          <w:rFonts w:ascii="宋体" w:hAnsi="宋体"/>
          <w:kern w:val="0"/>
          <w:sz w:val="24"/>
          <w:szCs w:val="21"/>
        </w:rPr>
      </w:pPr>
      <w:r>
        <w:rPr>
          <w:rFonts w:ascii="宋体" w:hAnsi="宋体"/>
          <w:kern w:val="0"/>
          <w:sz w:val="24"/>
          <w:szCs w:val="21"/>
        </w:rPr>
        <w:br w:type="page"/>
      </w:r>
    </w:p>
    <w:p>
      <w:pPr>
        <w:autoSpaceDE w:val="0"/>
        <w:autoSpaceDN w:val="0"/>
        <w:adjustRightInd w:val="0"/>
        <w:snapToGrid w:val="0"/>
        <w:spacing w:line="360" w:lineRule="auto"/>
        <w:jc w:val="center"/>
        <w:rPr>
          <w:rFonts w:ascii="宋体" w:hAnsi="宋体"/>
          <w:kern w:val="0"/>
          <w:sz w:val="32"/>
          <w:szCs w:val="32"/>
        </w:rPr>
      </w:pPr>
      <w:r>
        <w:rPr>
          <w:rFonts w:hint="eastAsia" w:ascii="宋体" w:hAnsi="宋体"/>
          <w:kern w:val="0"/>
          <w:sz w:val="32"/>
          <w:szCs w:val="32"/>
        </w:rPr>
        <w:t>目  录</w:t>
      </w:r>
    </w:p>
    <w:p>
      <w:pPr>
        <w:autoSpaceDE w:val="0"/>
        <w:autoSpaceDN w:val="0"/>
        <w:adjustRightInd w:val="0"/>
        <w:snapToGrid w:val="0"/>
        <w:spacing w:line="360" w:lineRule="auto"/>
        <w:jc w:val="left"/>
        <w:rPr>
          <w:rFonts w:ascii="宋体" w:hAnsi="宋体"/>
          <w:kern w:val="0"/>
          <w:szCs w:val="21"/>
        </w:rPr>
      </w:pPr>
    </w:p>
    <w:p>
      <w:pPr>
        <w:autoSpaceDE w:val="0"/>
        <w:autoSpaceDN w:val="0"/>
        <w:adjustRightInd w:val="0"/>
        <w:snapToGrid w:val="0"/>
        <w:spacing w:line="360" w:lineRule="auto"/>
        <w:jc w:val="center"/>
        <w:rPr>
          <w:rFonts w:ascii="宋体" w:hAnsi="宋体"/>
          <w:i/>
          <w:iCs/>
          <w:kern w:val="0"/>
          <w:szCs w:val="21"/>
        </w:rPr>
      </w:pPr>
      <w:r>
        <w:rPr>
          <w:rFonts w:ascii="宋体" w:hAnsi="宋体"/>
          <w:i/>
          <w:iCs/>
          <w:kern w:val="0"/>
          <w:szCs w:val="21"/>
        </w:rPr>
        <w:t>[</w:t>
      </w:r>
      <w:r>
        <w:rPr>
          <w:rFonts w:hint="eastAsia" w:ascii="宋体" w:hAnsi="宋体"/>
          <w:i/>
          <w:iCs/>
          <w:kern w:val="0"/>
          <w:szCs w:val="21"/>
        </w:rPr>
        <w:t>提示：</w:t>
      </w:r>
      <w:r>
        <w:rPr>
          <w:rFonts w:ascii="宋体" w:hAnsi="宋体"/>
          <w:i/>
          <w:iCs/>
          <w:kern w:val="0"/>
          <w:szCs w:val="21"/>
        </w:rPr>
        <w:t>目录由投标人自行编制]</w:t>
      </w:r>
    </w:p>
    <w:p>
      <w:pPr>
        <w:pStyle w:val="7"/>
        <w:spacing w:before="0" w:after="0" w:line="240" w:lineRule="auto"/>
        <w:jc w:val="center"/>
        <w:rPr>
          <w:rFonts w:ascii="宋体" w:hAnsi="宋体"/>
          <w:b w:val="0"/>
          <w:bCs w:val="0"/>
        </w:rPr>
      </w:pPr>
      <w:bookmarkStart w:id="594" w:name="_Toc277082648"/>
      <w:bookmarkStart w:id="595" w:name="_Toc287607873"/>
      <w:bookmarkStart w:id="596" w:name="_Toc430530535"/>
      <w:bookmarkStart w:id="597" w:name="_Toc287620820"/>
      <w:bookmarkStart w:id="598" w:name="_Toc224103501"/>
      <w:r>
        <w:rPr>
          <w:rFonts w:ascii="宋体" w:hAnsi="宋体"/>
          <w:b w:val="0"/>
          <w:bCs w:val="0"/>
          <w:kern w:val="0"/>
          <w:sz w:val="21"/>
          <w:szCs w:val="21"/>
        </w:rPr>
        <w:br w:type="page"/>
      </w:r>
      <w:bookmarkStart w:id="599" w:name="_Toc29951"/>
      <w:bookmarkStart w:id="600" w:name="_Toc8771"/>
      <w:bookmarkStart w:id="601" w:name="_Toc31355"/>
      <w:r>
        <w:rPr>
          <w:rFonts w:hint="eastAsia" w:ascii="宋体" w:hAnsi="宋体"/>
          <w:b w:val="0"/>
          <w:bCs w:val="0"/>
        </w:rPr>
        <w:t>（一）已标价工程量清单</w:t>
      </w:r>
      <w:bookmarkEnd w:id="594"/>
      <w:bookmarkEnd w:id="595"/>
      <w:bookmarkEnd w:id="596"/>
      <w:bookmarkEnd w:id="597"/>
      <w:bookmarkEnd w:id="598"/>
      <w:bookmarkEnd w:id="599"/>
      <w:bookmarkEnd w:id="600"/>
      <w:bookmarkEnd w:id="601"/>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pStyle w:val="6"/>
        <w:spacing w:line="360" w:lineRule="auto"/>
        <w:rPr>
          <w:rFonts w:ascii="宋体" w:hAnsi="宋体"/>
          <w:kern w:val="0"/>
          <w:sz w:val="24"/>
          <w:szCs w:val="21"/>
        </w:rPr>
      </w:pPr>
      <w:bookmarkStart w:id="602" w:name="_Toc287620821"/>
      <w:bookmarkStart w:id="603" w:name="_Toc287607874"/>
      <w:bookmarkStart w:id="604" w:name="_Toc224103502"/>
      <w:bookmarkStart w:id="605" w:name="_Toc430530536"/>
      <w:r>
        <w:rPr>
          <w:rFonts w:ascii="宋体" w:hAnsi="宋体"/>
        </w:rPr>
        <w:br w:type="page"/>
      </w:r>
    </w:p>
    <w:p>
      <w:pPr>
        <w:pStyle w:val="6"/>
        <w:spacing w:line="360" w:lineRule="auto"/>
        <w:jc w:val="center"/>
        <w:rPr>
          <w:rFonts w:ascii="宋体" w:hAnsi="宋体"/>
          <w:b w:val="0"/>
          <w:bCs w:val="0"/>
          <w:sz w:val="32"/>
          <w:szCs w:val="32"/>
        </w:rPr>
      </w:pPr>
      <w:bookmarkStart w:id="606" w:name="_Toc11334"/>
      <w:bookmarkStart w:id="607" w:name="_Toc13970"/>
      <w:r>
        <w:rPr>
          <w:rFonts w:hint="eastAsia" w:ascii="宋体" w:hAnsi="宋体"/>
          <w:b w:val="0"/>
          <w:bCs w:val="0"/>
          <w:sz w:val="32"/>
          <w:szCs w:val="32"/>
        </w:rPr>
        <w:t>三、</w:t>
      </w:r>
      <w:bookmarkEnd w:id="602"/>
      <w:bookmarkEnd w:id="603"/>
      <w:bookmarkEnd w:id="604"/>
      <w:bookmarkEnd w:id="605"/>
      <w:r>
        <w:rPr>
          <w:rFonts w:hint="eastAsia" w:ascii="宋体" w:hAnsi="宋体"/>
          <w:b w:val="0"/>
          <w:bCs w:val="0"/>
          <w:sz w:val="32"/>
          <w:szCs w:val="32"/>
        </w:rPr>
        <w:t>资格审查部分</w:t>
      </w:r>
      <w:bookmarkEnd w:id="606"/>
      <w:bookmarkEnd w:id="607"/>
    </w:p>
    <w:p>
      <w:pPr>
        <w:spacing w:line="360" w:lineRule="auto"/>
        <w:jc w:val="center"/>
        <w:rPr>
          <w:rFonts w:ascii="宋体" w:hAnsi="宋体"/>
          <w:kern w:val="0"/>
          <w:sz w:val="32"/>
          <w:szCs w:val="32"/>
        </w:rPr>
      </w:pPr>
      <w:r>
        <w:rPr>
          <w:rFonts w:ascii="宋体" w:hAnsi="宋体"/>
          <w:sz w:val="32"/>
          <w:szCs w:val="32"/>
        </w:rPr>
        <w:br w:type="page"/>
      </w: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资格审查部分</w:t>
      </w:r>
    </w:p>
    <w:p>
      <w:pPr>
        <w:autoSpaceDE w:val="0"/>
        <w:autoSpaceDN w:val="0"/>
        <w:adjustRightInd w:val="0"/>
        <w:snapToGrid w:val="0"/>
        <w:spacing w:line="360" w:lineRule="auto"/>
        <w:jc w:val="left"/>
        <w:rPr>
          <w:rFonts w:ascii="宋体" w:hAnsi="宋体" w:cs="MingLiU"/>
          <w:kern w:val="0"/>
          <w:sz w:val="20"/>
          <w:szCs w:val="20"/>
        </w:rPr>
      </w:pPr>
    </w:p>
    <w:p>
      <w:pPr>
        <w:adjustRightInd w:val="0"/>
        <w:snapToGrid w:val="0"/>
        <w:spacing w:line="264" w:lineRule="auto"/>
        <w:rPr>
          <w:rFonts w:ascii="宋体" w:hAnsi="宋体"/>
          <w:szCs w:val="21"/>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line="480" w:lineRule="auto"/>
        <w:ind w:firstLine="1108" w:firstLineChars="400"/>
        <w:jc w:val="both"/>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hint="eastAsia" w:ascii="宋体" w:hAnsi="宋体"/>
          <w:w w:val="198"/>
          <w:kern w:val="0"/>
          <w:sz w:val="28"/>
          <w:szCs w:val="28"/>
          <w:u w:val="single"/>
          <w:lang w:val="en-US" w:eastAsia="zh-CN"/>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pPr>
        <w:tabs>
          <w:tab w:val="left" w:pos="3280"/>
          <w:tab w:val="left" w:pos="4680"/>
          <w:tab w:val="left" w:pos="6080"/>
        </w:tabs>
        <w:autoSpaceDE w:val="0"/>
        <w:autoSpaceDN w:val="0"/>
        <w:adjustRightInd w:val="0"/>
        <w:snapToGrid w:val="0"/>
        <w:spacing w:line="480" w:lineRule="auto"/>
        <w:jc w:val="center"/>
        <w:rPr>
          <w:rFonts w:ascii="宋体" w:hAnsi="宋体"/>
          <w:w w:val="99"/>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lang w:val="en-US" w:eastAsia="zh-CN"/>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lang w:val="en-US" w:eastAsia="zh-CN"/>
        </w:rPr>
        <w:t xml:space="preserve"> </w:t>
      </w:r>
      <w:r>
        <w:rPr>
          <w:rFonts w:ascii="宋体" w:hAnsi="宋体"/>
          <w:w w:val="99"/>
          <w:kern w:val="0"/>
          <w:sz w:val="28"/>
          <w:szCs w:val="28"/>
        </w:rPr>
        <w:t>日</w:t>
      </w:r>
    </w:p>
    <w:p>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Pr>
          <w:rFonts w:ascii="宋体" w:hAnsi="宋体"/>
          <w:w w:val="99"/>
          <w:kern w:val="0"/>
          <w:sz w:val="28"/>
          <w:szCs w:val="28"/>
        </w:rPr>
        <w:br w:type="page"/>
      </w:r>
    </w:p>
    <w:p>
      <w:pPr>
        <w:autoSpaceDE w:val="0"/>
        <w:autoSpaceDN w:val="0"/>
        <w:adjustRightInd w:val="0"/>
        <w:snapToGrid w:val="0"/>
        <w:jc w:val="center"/>
        <w:rPr>
          <w:rFonts w:ascii="宋体" w:hAnsi="宋体"/>
          <w:kern w:val="0"/>
          <w:sz w:val="32"/>
          <w:szCs w:val="32"/>
        </w:rPr>
      </w:pPr>
      <w:r>
        <w:rPr>
          <w:rFonts w:hint="eastAsia" w:ascii="宋体" w:hAnsi="宋体"/>
          <w:kern w:val="0"/>
          <w:sz w:val="32"/>
          <w:szCs w:val="32"/>
        </w:rPr>
        <w:t>目  录</w:t>
      </w:r>
    </w:p>
    <w:p>
      <w:pPr>
        <w:spacing w:line="360" w:lineRule="auto"/>
        <w:jc w:val="center"/>
        <w:rPr>
          <w:rFonts w:ascii="宋体" w:hAnsi="宋体"/>
          <w:b/>
          <w:kern w:val="0"/>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ascii="宋体" w:hAnsi="宋体"/>
          <w:sz w:val="24"/>
          <w:szCs w:val="24"/>
        </w:rPr>
      </w:pPr>
      <w:r>
        <w:rPr>
          <w:rFonts w:ascii="宋体" w:hAnsi="宋体"/>
          <w:sz w:val="24"/>
          <w:szCs w:val="24"/>
        </w:rPr>
        <w:t>（一）</w:t>
      </w:r>
      <w:r>
        <w:rPr>
          <w:rFonts w:hint="eastAsia" w:ascii="宋体" w:hAnsi="宋体"/>
          <w:sz w:val="24"/>
          <w:szCs w:val="24"/>
        </w:rPr>
        <w:t>法定代表人身份证明或附有法定代表人身份证明的授权委托书</w:t>
      </w:r>
    </w:p>
    <w:p>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ascii="宋体" w:hAnsi="宋体"/>
          <w:sz w:val="24"/>
          <w:szCs w:val="24"/>
        </w:rPr>
      </w:pPr>
      <w:r>
        <w:rPr>
          <w:rFonts w:ascii="宋体" w:hAnsi="宋体"/>
          <w:sz w:val="24"/>
          <w:szCs w:val="24"/>
        </w:rPr>
        <w:t>（</w:t>
      </w:r>
      <w:r>
        <w:rPr>
          <w:rFonts w:hint="eastAsia" w:ascii="宋体" w:hAnsi="宋体"/>
          <w:sz w:val="24"/>
          <w:szCs w:val="24"/>
        </w:rPr>
        <w:t>二</w:t>
      </w:r>
      <w:r>
        <w:rPr>
          <w:rFonts w:ascii="宋体" w:hAnsi="宋体"/>
          <w:sz w:val="24"/>
          <w:szCs w:val="24"/>
        </w:rPr>
        <w:t>）投标人基本情况表</w:t>
      </w:r>
    </w:p>
    <w:p>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ascii="宋体" w:hAnsi="宋体"/>
          <w:sz w:val="24"/>
          <w:szCs w:val="24"/>
        </w:rPr>
      </w:pPr>
      <w:r>
        <w:rPr>
          <w:rFonts w:ascii="宋体" w:hAnsi="宋体"/>
          <w:sz w:val="24"/>
          <w:szCs w:val="24"/>
        </w:rPr>
        <w:t>（</w:t>
      </w:r>
      <w:r>
        <w:rPr>
          <w:rFonts w:hint="eastAsia" w:ascii="宋体" w:hAnsi="宋体"/>
          <w:sz w:val="24"/>
          <w:szCs w:val="24"/>
        </w:rPr>
        <w:t>三</w:t>
      </w:r>
      <w:r>
        <w:rPr>
          <w:rFonts w:ascii="宋体" w:hAnsi="宋体"/>
          <w:sz w:val="24"/>
          <w:szCs w:val="24"/>
        </w:rPr>
        <w:t>）项目管理机构</w:t>
      </w:r>
    </w:p>
    <w:p>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ascii="宋体" w:hAnsi="宋体"/>
          <w:sz w:val="24"/>
          <w:szCs w:val="24"/>
        </w:rPr>
      </w:pPr>
      <w:r>
        <w:rPr>
          <w:rFonts w:ascii="宋体" w:hAnsi="宋体"/>
          <w:sz w:val="24"/>
          <w:szCs w:val="24"/>
        </w:rPr>
        <w:t>（</w:t>
      </w:r>
      <w:r>
        <w:rPr>
          <w:rFonts w:hint="eastAsia" w:ascii="宋体" w:hAnsi="宋体"/>
          <w:sz w:val="24"/>
          <w:szCs w:val="24"/>
          <w:lang w:val="en-US" w:eastAsia="zh-CN"/>
        </w:rPr>
        <w:t>四</w:t>
      </w:r>
      <w:r>
        <w:rPr>
          <w:rFonts w:ascii="宋体" w:hAnsi="宋体"/>
          <w:sz w:val="24"/>
          <w:szCs w:val="24"/>
        </w:rPr>
        <w:t>）</w:t>
      </w:r>
      <w:r>
        <w:rPr>
          <w:rFonts w:hint="eastAsia" w:ascii="宋体" w:hAnsi="宋体"/>
          <w:sz w:val="24"/>
          <w:szCs w:val="24"/>
        </w:rPr>
        <w:t>承诺</w:t>
      </w:r>
    </w:p>
    <w:p>
      <w:pPr>
        <w:keepNext w:val="0"/>
        <w:keepLines w:val="0"/>
        <w:pageBreakBefore w:val="0"/>
        <w:widowControl w:val="0"/>
        <w:kinsoku/>
        <w:wordWrap/>
        <w:overflowPunct/>
        <w:topLinePunct w:val="0"/>
        <w:autoSpaceDE/>
        <w:autoSpaceDN/>
        <w:bidi w:val="0"/>
        <w:adjustRightInd/>
        <w:snapToGrid/>
        <w:spacing w:line="700" w:lineRule="exact"/>
        <w:ind w:firstLine="480" w:firstLineChars="200"/>
        <w:jc w:val="left"/>
        <w:textAlignment w:val="auto"/>
        <w:rPr>
          <w:rFonts w:ascii="宋体" w:hAnsi="宋体"/>
          <w:b/>
          <w:kern w:val="0"/>
          <w:sz w:val="24"/>
          <w:szCs w:val="24"/>
        </w:rPr>
      </w:pPr>
      <w:r>
        <w:rPr>
          <w:rFonts w:ascii="宋体" w:hAnsi="宋体"/>
          <w:sz w:val="24"/>
          <w:szCs w:val="24"/>
        </w:rPr>
        <w:t>（</w:t>
      </w:r>
      <w:r>
        <w:rPr>
          <w:rFonts w:hint="eastAsia" w:ascii="宋体" w:hAnsi="宋体"/>
          <w:sz w:val="24"/>
          <w:szCs w:val="24"/>
          <w:lang w:val="en-US" w:eastAsia="zh-CN"/>
        </w:rPr>
        <w:t>五</w:t>
      </w:r>
      <w:r>
        <w:rPr>
          <w:rFonts w:ascii="宋体" w:hAnsi="宋体"/>
          <w:sz w:val="24"/>
          <w:szCs w:val="24"/>
        </w:rPr>
        <w:t>）其他资料</w:t>
      </w:r>
    </w:p>
    <w:p>
      <w:pPr>
        <w:spacing w:line="360" w:lineRule="auto"/>
        <w:jc w:val="center"/>
        <w:rPr>
          <w:rFonts w:ascii="宋体" w:hAnsi="宋体"/>
          <w:b/>
          <w:kern w:val="0"/>
          <w:sz w:val="32"/>
          <w:szCs w:val="32"/>
        </w:rPr>
      </w:pPr>
    </w:p>
    <w:p>
      <w:pPr>
        <w:pStyle w:val="7"/>
        <w:spacing w:before="0" w:after="0" w:line="240" w:lineRule="auto"/>
        <w:jc w:val="center"/>
        <w:rPr>
          <w:rFonts w:ascii="宋体" w:hAnsi="宋体"/>
          <w:sz w:val="36"/>
          <w:szCs w:val="36"/>
        </w:rPr>
      </w:pPr>
      <w:r>
        <w:rPr>
          <w:rFonts w:ascii="宋体" w:hAnsi="宋体"/>
        </w:rPr>
        <w:br w:type="page"/>
      </w:r>
      <w:bookmarkStart w:id="608" w:name="_Toc277082657"/>
      <w:bookmarkStart w:id="609" w:name="_Toc224103511"/>
      <w:bookmarkStart w:id="610" w:name="_Toc15507"/>
      <w:bookmarkStart w:id="611" w:name="_Toc19892"/>
      <w:bookmarkStart w:id="612" w:name="_Toc287607883"/>
      <w:bookmarkStart w:id="613" w:name="_Toc287620830"/>
      <w:bookmarkStart w:id="614" w:name="_Toc430530546"/>
      <w:r>
        <w:rPr>
          <w:rFonts w:hint="eastAsia" w:ascii="宋体" w:hAnsi="宋体"/>
          <w:b w:val="0"/>
          <w:bCs w:val="0"/>
        </w:rPr>
        <w:t>（一）法定代表人身份证明或附有法定代表人身份证明的授权委托书</w:t>
      </w:r>
      <w:bookmarkEnd w:id="608"/>
      <w:bookmarkEnd w:id="609"/>
      <w:bookmarkEnd w:id="610"/>
      <w:bookmarkEnd w:id="611"/>
      <w:bookmarkEnd w:id="612"/>
      <w:bookmarkEnd w:id="613"/>
      <w:bookmarkEnd w:id="614"/>
    </w:p>
    <w:p>
      <w:pPr>
        <w:spacing w:line="480" w:lineRule="auto"/>
        <w:jc w:val="center"/>
        <w:rPr>
          <w:rFonts w:ascii="宋体" w:hAnsi="宋体"/>
          <w:sz w:val="28"/>
        </w:rPr>
      </w:pPr>
      <w:r>
        <w:rPr>
          <w:rFonts w:hint="eastAsia" w:ascii="宋体" w:hAnsi="宋体"/>
          <w:sz w:val="28"/>
        </w:rPr>
        <w:t>法定代表人身份证明</w:t>
      </w:r>
    </w:p>
    <w:p>
      <w:pPr>
        <w:spacing w:line="480" w:lineRule="auto"/>
        <w:jc w:val="center"/>
        <w:rPr>
          <w:rFonts w:ascii="宋体" w:hAnsi="宋体"/>
        </w:rPr>
      </w:pPr>
    </w:p>
    <w:p>
      <w:pPr>
        <w:keepNext w:val="0"/>
        <w:keepLines w:val="0"/>
        <w:pageBreakBefore w:val="0"/>
        <w:widowControl w:val="0"/>
        <w:tabs>
          <w:tab w:val="left" w:pos="5565"/>
        </w:tabs>
        <w:kinsoku/>
        <w:overflowPunct/>
        <w:topLinePunct w:val="0"/>
        <w:autoSpaceDE w:val="0"/>
        <w:autoSpaceDN w:val="0"/>
        <w:bidi w:val="0"/>
        <w:adjustRightInd w:val="0"/>
        <w:snapToGrid w:val="0"/>
        <w:spacing w:line="700" w:lineRule="exact"/>
        <w:ind w:firstLine="390" w:firstLineChars="186"/>
        <w:jc w:val="left"/>
        <w:textAlignment w:val="auto"/>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hint="eastAsia" w:ascii="宋体" w:hAnsi="宋体"/>
          <w:w w:val="200"/>
          <w:kern w:val="0"/>
          <w:szCs w:val="21"/>
          <w:u w:val="single"/>
        </w:rPr>
        <w:t xml:space="preserve">                                    </w:t>
      </w:r>
    </w:p>
    <w:p>
      <w:pPr>
        <w:keepNext w:val="0"/>
        <w:keepLines w:val="0"/>
        <w:pageBreakBefore w:val="0"/>
        <w:widowControl w:val="0"/>
        <w:tabs>
          <w:tab w:val="left" w:pos="5475"/>
        </w:tabs>
        <w:kinsoku/>
        <w:overflowPunct/>
        <w:topLinePunct w:val="0"/>
        <w:autoSpaceDE w:val="0"/>
        <w:autoSpaceDN w:val="0"/>
        <w:bidi w:val="0"/>
        <w:adjustRightInd w:val="0"/>
        <w:snapToGrid w:val="0"/>
        <w:spacing w:line="700" w:lineRule="exact"/>
        <w:ind w:firstLine="390" w:firstLineChars="186"/>
        <w:jc w:val="left"/>
        <w:textAlignment w:val="auto"/>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pPr>
        <w:keepNext w:val="0"/>
        <w:keepLines w:val="0"/>
        <w:pageBreakBefore w:val="0"/>
        <w:widowControl w:val="0"/>
        <w:tabs>
          <w:tab w:val="left" w:pos="5475"/>
        </w:tabs>
        <w:kinsoku/>
        <w:overflowPunct/>
        <w:topLinePunct w:val="0"/>
        <w:autoSpaceDE w:val="0"/>
        <w:autoSpaceDN w:val="0"/>
        <w:bidi w:val="0"/>
        <w:adjustRightInd w:val="0"/>
        <w:snapToGrid w:val="0"/>
        <w:spacing w:line="700" w:lineRule="exact"/>
        <w:ind w:firstLine="390" w:firstLineChars="186"/>
        <w:jc w:val="left"/>
        <w:textAlignment w:val="auto"/>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pPr>
        <w:keepNext w:val="0"/>
        <w:keepLines w:val="0"/>
        <w:pageBreakBefore w:val="0"/>
        <w:widowControl w:val="0"/>
        <w:tabs>
          <w:tab w:val="left" w:pos="2520"/>
          <w:tab w:val="left" w:pos="3836"/>
        </w:tabs>
        <w:kinsoku/>
        <w:overflowPunct/>
        <w:topLinePunct w:val="0"/>
        <w:autoSpaceDE w:val="0"/>
        <w:autoSpaceDN w:val="0"/>
        <w:bidi w:val="0"/>
        <w:adjustRightInd w:val="0"/>
        <w:snapToGrid w:val="0"/>
        <w:spacing w:line="700" w:lineRule="exact"/>
        <w:ind w:firstLine="390" w:firstLineChars="186"/>
        <w:jc w:val="left"/>
        <w:textAlignment w:val="auto"/>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pPr>
        <w:keepNext w:val="0"/>
        <w:keepLines w:val="0"/>
        <w:pageBreakBefore w:val="0"/>
        <w:widowControl w:val="0"/>
        <w:tabs>
          <w:tab w:val="left" w:pos="5475"/>
        </w:tabs>
        <w:kinsoku/>
        <w:overflowPunct/>
        <w:topLinePunct w:val="0"/>
        <w:autoSpaceDE w:val="0"/>
        <w:autoSpaceDN w:val="0"/>
        <w:bidi w:val="0"/>
        <w:adjustRightInd w:val="0"/>
        <w:snapToGrid w:val="0"/>
        <w:spacing w:line="700" w:lineRule="exact"/>
        <w:ind w:firstLine="390" w:firstLineChars="186"/>
        <w:jc w:val="left"/>
        <w:textAlignment w:val="auto"/>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pPr>
        <w:keepNext w:val="0"/>
        <w:keepLines w:val="0"/>
        <w:pageBreakBefore w:val="0"/>
        <w:widowControl w:val="0"/>
        <w:tabs>
          <w:tab w:val="left" w:pos="1580"/>
          <w:tab w:val="left" w:pos="3260"/>
          <w:tab w:val="left" w:pos="4840"/>
          <w:tab w:val="left" w:pos="6300"/>
        </w:tabs>
        <w:kinsoku/>
        <w:overflowPunct/>
        <w:topLinePunct w:val="0"/>
        <w:autoSpaceDE w:val="0"/>
        <w:autoSpaceDN w:val="0"/>
        <w:bidi w:val="0"/>
        <w:adjustRightInd w:val="0"/>
        <w:snapToGrid w:val="0"/>
        <w:spacing w:line="700" w:lineRule="exact"/>
        <w:ind w:firstLine="390" w:firstLineChars="186"/>
        <w:jc w:val="left"/>
        <w:textAlignment w:val="auto"/>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pPr>
        <w:keepNext w:val="0"/>
        <w:keepLines w:val="0"/>
        <w:pageBreakBefore w:val="0"/>
        <w:widowControl w:val="0"/>
        <w:tabs>
          <w:tab w:val="left" w:pos="3360"/>
        </w:tabs>
        <w:kinsoku/>
        <w:overflowPunct/>
        <w:topLinePunct w:val="0"/>
        <w:autoSpaceDE w:val="0"/>
        <w:autoSpaceDN w:val="0"/>
        <w:bidi w:val="0"/>
        <w:adjustRightInd w:val="0"/>
        <w:snapToGrid w:val="0"/>
        <w:spacing w:line="700" w:lineRule="exact"/>
        <w:ind w:firstLine="390" w:firstLineChars="186"/>
        <w:jc w:val="left"/>
        <w:textAlignment w:val="auto"/>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pPr>
        <w:keepNext w:val="0"/>
        <w:keepLines w:val="0"/>
        <w:pageBreakBefore w:val="0"/>
        <w:widowControl w:val="0"/>
        <w:tabs>
          <w:tab w:val="left" w:pos="3360"/>
        </w:tabs>
        <w:kinsoku/>
        <w:overflowPunct/>
        <w:topLinePunct w:val="0"/>
        <w:autoSpaceDE w:val="0"/>
        <w:autoSpaceDN w:val="0"/>
        <w:bidi w:val="0"/>
        <w:adjustRightInd w:val="0"/>
        <w:snapToGrid w:val="0"/>
        <w:spacing w:line="700" w:lineRule="exact"/>
        <w:ind w:firstLine="390" w:firstLineChars="186"/>
        <w:jc w:val="left"/>
        <w:textAlignment w:val="auto"/>
        <w:rPr>
          <w:rFonts w:ascii="宋体" w:hAnsi="宋体"/>
          <w:kern w:val="0"/>
          <w:szCs w:val="21"/>
        </w:rPr>
      </w:pPr>
      <w:r>
        <w:rPr>
          <w:rFonts w:ascii="宋体" w:hAnsi="宋体"/>
          <w:kern w:val="0"/>
          <w:szCs w:val="21"/>
        </w:rPr>
        <w:t>特此证明。</w:t>
      </w:r>
    </w:p>
    <w:p>
      <w:pPr>
        <w:keepNext w:val="0"/>
        <w:keepLines w:val="0"/>
        <w:pageBreakBefore w:val="0"/>
        <w:widowControl w:val="0"/>
        <w:kinsoku/>
        <w:overflowPunct/>
        <w:topLinePunct w:val="0"/>
        <w:autoSpaceDE w:val="0"/>
        <w:autoSpaceDN w:val="0"/>
        <w:bidi w:val="0"/>
        <w:adjustRightInd w:val="0"/>
        <w:snapToGrid w:val="0"/>
        <w:spacing w:line="700" w:lineRule="exact"/>
        <w:ind w:firstLine="810" w:firstLineChars="386"/>
        <w:jc w:val="left"/>
        <w:textAlignment w:val="auto"/>
        <w:rPr>
          <w:rFonts w:hint="eastAsia" w:ascii="宋体" w:hAnsi="宋体"/>
          <w:kern w:val="0"/>
          <w:szCs w:val="21"/>
        </w:rPr>
      </w:pPr>
    </w:p>
    <w:p>
      <w:pPr>
        <w:keepNext w:val="0"/>
        <w:keepLines w:val="0"/>
        <w:pageBreakBefore w:val="0"/>
        <w:widowControl w:val="0"/>
        <w:kinsoku/>
        <w:overflowPunct/>
        <w:topLinePunct w:val="0"/>
        <w:autoSpaceDE w:val="0"/>
        <w:autoSpaceDN w:val="0"/>
        <w:bidi w:val="0"/>
        <w:adjustRightInd w:val="0"/>
        <w:snapToGrid w:val="0"/>
        <w:spacing w:line="700" w:lineRule="exact"/>
        <w:ind w:firstLine="810" w:firstLineChars="386"/>
        <w:jc w:val="left"/>
        <w:textAlignment w:val="auto"/>
        <w:rPr>
          <w:rFonts w:ascii="宋体" w:hAnsi="宋体"/>
          <w:szCs w:val="21"/>
        </w:rPr>
      </w:pPr>
      <w:r>
        <w:rPr>
          <w:rFonts w:hint="eastAsia" w:ascii="宋体" w:hAnsi="宋体"/>
          <w:kern w:val="0"/>
          <w:szCs w:val="21"/>
        </w:rPr>
        <w:t>附：法定代表人身份证明扫描件（双面）</w:t>
      </w:r>
    </w:p>
    <w:p>
      <w:pPr>
        <w:keepNext w:val="0"/>
        <w:keepLines w:val="0"/>
        <w:pageBreakBefore w:val="0"/>
        <w:widowControl w:val="0"/>
        <w:kinsoku/>
        <w:overflowPunct/>
        <w:topLinePunct w:val="0"/>
        <w:autoSpaceDE w:val="0"/>
        <w:autoSpaceDN w:val="0"/>
        <w:bidi w:val="0"/>
        <w:adjustRightInd w:val="0"/>
        <w:snapToGrid w:val="0"/>
        <w:spacing w:line="700" w:lineRule="exact"/>
        <w:ind w:firstLine="420" w:firstLineChars="200"/>
        <w:jc w:val="right"/>
        <w:textAlignment w:val="auto"/>
        <w:rPr>
          <w:rFonts w:ascii="宋体" w:hAnsi="宋体"/>
          <w:kern w:val="0"/>
          <w:szCs w:val="21"/>
        </w:rPr>
      </w:pPr>
    </w:p>
    <w:p>
      <w:pPr>
        <w:keepNext w:val="0"/>
        <w:keepLines w:val="0"/>
        <w:pageBreakBefore w:val="0"/>
        <w:widowControl w:val="0"/>
        <w:kinsoku/>
        <w:overflowPunct/>
        <w:topLinePunct w:val="0"/>
        <w:autoSpaceDE w:val="0"/>
        <w:autoSpaceDN w:val="0"/>
        <w:bidi w:val="0"/>
        <w:adjustRightInd w:val="0"/>
        <w:snapToGrid w:val="0"/>
        <w:spacing w:line="700" w:lineRule="exact"/>
        <w:ind w:firstLine="420" w:firstLineChars="200"/>
        <w:jc w:val="right"/>
        <w:textAlignment w:val="auto"/>
        <w:rPr>
          <w:rFonts w:ascii="宋体" w:hAnsi="宋体"/>
          <w:kern w:val="0"/>
          <w:sz w:val="20"/>
          <w:szCs w:val="20"/>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pPr>
        <w:keepNext w:val="0"/>
        <w:keepLines w:val="0"/>
        <w:pageBreakBefore w:val="0"/>
        <w:widowControl w:val="0"/>
        <w:tabs>
          <w:tab w:val="left" w:pos="4935"/>
          <w:tab w:val="left" w:pos="5460"/>
          <w:tab w:val="left" w:pos="6400"/>
        </w:tabs>
        <w:kinsoku/>
        <w:wordWrap w:val="0"/>
        <w:overflowPunct/>
        <w:topLinePunct w:val="0"/>
        <w:autoSpaceDE w:val="0"/>
        <w:autoSpaceDN w:val="0"/>
        <w:bidi w:val="0"/>
        <w:adjustRightInd w:val="0"/>
        <w:snapToGrid w:val="0"/>
        <w:spacing w:line="700" w:lineRule="exact"/>
        <w:ind w:firstLine="3780"/>
        <w:jc w:val="right"/>
        <w:textAlignment w:val="auto"/>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pPr>
        <w:keepNext w:val="0"/>
        <w:keepLines w:val="0"/>
        <w:pageBreakBefore w:val="0"/>
        <w:widowControl w:val="0"/>
        <w:kinsoku/>
        <w:overflowPunct/>
        <w:topLinePunct w:val="0"/>
        <w:autoSpaceDE w:val="0"/>
        <w:autoSpaceDN w:val="0"/>
        <w:bidi w:val="0"/>
        <w:adjustRightInd w:val="0"/>
        <w:snapToGrid w:val="0"/>
        <w:spacing w:line="700" w:lineRule="exact"/>
        <w:jc w:val="left"/>
        <w:textAlignment w:val="auto"/>
        <w:rPr>
          <w:rFonts w:ascii="宋体" w:hAnsi="宋体"/>
          <w:kern w:val="0"/>
        </w:rPr>
      </w:pPr>
    </w:p>
    <w:p>
      <w:pPr>
        <w:keepNext w:val="0"/>
        <w:keepLines w:val="0"/>
        <w:pageBreakBefore w:val="0"/>
        <w:widowControl w:val="0"/>
        <w:tabs>
          <w:tab w:val="left" w:pos="1680"/>
          <w:tab w:val="left" w:pos="4215"/>
          <w:tab w:val="left" w:pos="4305"/>
          <w:tab w:val="left" w:pos="8000"/>
        </w:tabs>
        <w:kinsoku/>
        <w:overflowPunct/>
        <w:topLinePunct w:val="0"/>
        <w:autoSpaceDE w:val="0"/>
        <w:autoSpaceDN w:val="0"/>
        <w:bidi w:val="0"/>
        <w:adjustRightInd w:val="0"/>
        <w:snapToGrid w:val="0"/>
        <w:spacing w:line="700" w:lineRule="exact"/>
        <w:ind w:firstLine="411" w:firstLineChars="196"/>
        <w:jc w:val="left"/>
        <w:textAlignment w:val="auto"/>
        <w:rPr>
          <w:rFonts w:ascii="宋体" w:hAnsi="宋体"/>
          <w:kern w:val="0"/>
          <w:szCs w:val="21"/>
        </w:rPr>
      </w:pPr>
      <w:r>
        <w:rPr>
          <w:rFonts w:ascii="宋体" w:hAnsi="宋体"/>
        </w:rPr>
        <w:t>注：法定代表人身份证明需按上述格式填写完整，不可缺少内容。在此基础上增加内容的不影响其有效性</w:t>
      </w:r>
      <w:r>
        <w:rPr>
          <w:rFonts w:hint="eastAsia" w:ascii="宋体" w:hAnsi="宋体"/>
          <w:kern w:val="0"/>
          <w:szCs w:val="21"/>
        </w:rPr>
        <w:t>。</w:t>
      </w:r>
    </w:p>
    <w:p>
      <w:pPr>
        <w:keepNext w:val="0"/>
        <w:keepLines w:val="0"/>
        <w:pageBreakBefore w:val="0"/>
        <w:widowControl w:val="0"/>
        <w:tabs>
          <w:tab w:val="left" w:pos="1680"/>
          <w:tab w:val="left" w:pos="4215"/>
          <w:tab w:val="left" w:pos="4305"/>
          <w:tab w:val="left" w:pos="8000"/>
        </w:tabs>
        <w:kinsoku/>
        <w:overflowPunct/>
        <w:topLinePunct w:val="0"/>
        <w:autoSpaceDE w:val="0"/>
        <w:autoSpaceDN w:val="0"/>
        <w:bidi w:val="0"/>
        <w:adjustRightInd w:val="0"/>
        <w:snapToGrid w:val="0"/>
        <w:spacing w:line="700" w:lineRule="exact"/>
        <w:ind w:firstLine="411" w:firstLineChars="196"/>
        <w:jc w:val="left"/>
        <w:textAlignment w:val="auto"/>
        <w:rPr>
          <w:rFonts w:ascii="宋体" w:hAnsi="宋体"/>
          <w:kern w:val="0"/>
          <w:szCs w:val="21"/>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b/>
          <w:kern w:val="0"/>
          <w:sz w:val="28"/>
          <w:szCs w:val="28"/>
        </w:rPr>
        <w:br w:type="page"/>
      </w:r>
      <w:r>
        <w:rPr>
          <w:rFonts w:ascii="宋体" w:hAnsi="宋体"/>
          <w:snapToGrid w:val="0"/>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p>
    <w:p>
      <w:pPr>
        <w:keepNext w:val="0"/>
        <w:keepLines w:val="0"/>
        <w:pageBreakBefore w:val="0"/>
        <w:widowControl w:val="0"/>
        <w:tabs>
          <w:tab w:val="left" w:pos="1680"/>
          <w:tab w:val="left" w:pos="4215"/>
          <w:tab w:val="left" w:pos="4305"/>
          <w:tab w:val="left" w:pos="8000"/>
        </w:tabs>
        <w:kinsoku/>
        <w:overflowPunct/>
        <w:topLinePunct w:val="0"/>
        <w:autoSpaceDE w:val="0"/>
        <w:autoSpaceDN w:val="0"/>
        <w:bidi w:val="0"/>
        <w:adjustRightInd w:val="0"/>
        <w:snapToGrid w:val="0"/>
        <w:spacing w:line="700" w:lineRule="exact"/>
        <w:ind w:firstLine="420"/>
        <w:jc w:val="left"/>
        <w:textAlignment w:val="auto"/>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pPr>
        <w:keepNext w:val="0"/>
        <w:keepLines w:val="0"/>
        <w:pageBreakBefore w:val="0"/>
        <w:widowControl w:val="0"/>
        <w:tabs>
          <w:tab w:val="left" w:pos="1680"/>
          <w:tab w:val="left" w:pos="4200"/>
          <w:tab w:val="left" w:pos="4305"/>
          <w:tab w:val="left" w:pos="8000"/>
        </w:tabs>
        <w:kinsoku/>
        <w:overflowPunct/>
        <w:topLinePunct w:val="0"/>
        <w:autoSpaceDE w:val="0"/>
        <w:autoSpaceDN w:val="0"/>
        <w:bidi w:val="0"/>
        <w:adjustRightInd w:val="0"/>
        <w:snapToGrid w:val="0"/>
        <w:spacing w:line="700" w:lineRule="exact"/>
        <w:ind w:firstLine="420"/>
        <w:textAlignment w:val="auto"/>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pPr>
        <w:keepNext w:val="0"/>
        <w:keepLines w:val="0"/>
        <w:pageBreakBefore w:val="0"/>
        <w:widowControl w:val="0"/>
        <w:tabs>
          <w:tab w:val="left" w:pos="1680"/>
          <w:tab w:val="left" w:pos="4200"/>
          <w:tab w:val="left" w:pos="4305"/>
          <w:tab w:val="left" w:pos="8000"/>
        </w:tabs>
        <w:kinsoku/>
        <w:overflowPunct/>
        <w:topLinePunct w:val="0"/>
        <w:autoSpaceDE w:val="0"/>
        <w:autoSpaceDN w:val="0"/>
        <w:bidi w:val="0"/>
        <w:adjustRightInd w:val="0"/>
        <w:snapToGrid w:val="0"/>
        <w:spacing w:line="700" w:lineRule="exact"/>
        <w:ind w:firstLine="420"/>
        <w:textAlignment w:val="auto"/>
        <w:rPr>
          <w:rFonts w:ascii="宋体" w:hAnsi="宋体"/>
          <w:kern w:val="0"/>
          <w:szCs w:val="21"/>
        </w:rPr>
      </w:pPr>
      <w:r>
        <w:rPr>
          <w:rFonts w:ascii="宋体" w:hAnsi="宋体"/>
          <w:kern w:val="0"/>
          <w:szCs w:val="21"/>
        </w:rPr>
        <w:t>代理人无转委托权。</w:t>
      </w:r>
    </w:p>
    <w:p>
      <w:pPr>
        <w:keepNext w:val="0"/>
        <w:keepLines w:val="0"/>
        <w:pageBreakBefore w:val="0"/>
        <w:widowControl w:val="0"/>
        <w:tabs>
          <w:tab w:val="left" w:pos="1680"/>
          <w:tab w:val="left" w:pos="4200"/>
          <w:tab w:val="left" w:pos="4305"/>
          <w:tab w:val="left" w:pos="8000"/>
        </w:tabs>
        <w:kinsoku/>
        <w:overflowPunct/>
        <w:topLinePunct w:val="0"/>
        <w:autoSpaceDE w:val="0"/>
        <w:autoSpaceDN w:val="0"/>
        <w:bidi w:val="0"/>
        <w:adjustRightInd w:val="0"/>
        <w:snapToGrid w:val="0"/>
        <w:spacing w:line="700" w:lineRule="exact"/>
        <w:ind w:firstLine="420"/>
        <w:textAlignment w:val="auto"/>
        <w:rPr>
          <w:rFonts w:ascii="宋体" w:hAnsi="宋体"/>
          <w:kern w:val="0"/>
          <w:szCs w:val="21"/>
        </w:rPr>
      </w:pPr>
    </w:p>
    <w:p>
      <w:pPr>
        <w:keepNext w:val="0"/>
        <w:keepLines w:val="0"/>
        <w:pageBreakBefore w:val="0"/>
        <w:widowControl w:val="0"/>
        <w:tabs>
          <w:tab w:val="left" w:pos="1680"/>
          <w:tab w:val="left" w:pos="4200"/>
          <w:tab w:val="left" w:pos="4305"/>
          <w:tab w:val="left" w:pos="8000"/>
        </w:tabs>
        <w:kinsoku/>
        <w:overflowPunct/>
        <w:topLinePunct w:val="0"/>
        <w:autoSpaceDE w:val="0"/>
        <w:autoSpaceDN w:val="0"/>
        <w:bidi w:val="0"/>
        <w:adjustRightInd w:val="0"/>
        <w:snapToGrid w:val="0"/>
        <w:spacing w:line="700" w:lineRule="exact"/>
        <w:ind w:firstLine="420"/>
        <w:textAlignment w:val="auto"/>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keepNext w:val="0"/>
        <w:keepLines w:val="0"/>
        <w:pageBreakBefore w:val="0"/>
        <w:widowControl w:val="0"/>
        <w:tabs>
          <w:tab w:val="left" w:pos="6300"/>
        </w:tabs>
        <w:kinsoku/>
        <w:overflowPunct/>
        <w:topLinePunct w:val="0"/>
        <w:autoSpaceDE w:val="0"/>
        <w:autoSpaceDN w:val="0"/>
        <w:bidi w:val="0"/>
        <w:adjustRightInd w:val="0"/>
        <w:snapToGrid w:val="0"/>
        <w:spacing w:line="700" w:lineRule="exact"/>
        <w:ind w:firstLine="420" w:firstLineChars="200"/>
        <w:jc w:val="left"/>
        <w:textAlignment w:val="auto"/>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keepNext w:val="0"/>
        <w:keepLines w:val="0"/>
        <w:pageBreakBefore w:val="0"/>
        <w:widowControl w:val="0"/>
        <w:tabs>
          <w:tab w:val="left" w:pos="5260"/>
        </w:tabs>
        <w:kinsoku/>
        <w:overflowPunct/>
        <w:topLinePunct w:val="0"/>
        <w:autoSpaceDE w:val="0"/>
        <w:autoSpaceDN w:val="0"/>
        <w:bidi w:val="0"/>
        <w:adjustRightInd w:val="0"/>
        <w:snapToGrid w:val="0"/>
        <w:spacing w:line="700" w:lineRule="exact"/>
        <w:ind w:firstLine="420" w:firstLineChars="200"/>
        <w:jc w:val="left"/>
        <w:textAlignment w:val="auto"/>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keepNext w:val="0"/>
        <w:keepLines w:val="0"/>
        <w:pageBreakBefore w:val="0"/>
        <w:widowControl w:val="0"/>
        <w:tabs>
          <w:tab w:val="left" w:pos="5260"/>
        </w:tabs>
        <w:kinsoku/>
        <w:overflowPunct/>
        <w:topLinePunct w:val="0"/>
        <w:autoSpaceDE w:val="0"/>
        <w:autoSpaceDN w:val="0"/>
        <w:bidi w:val="0"/>
        <w:adjustRightInd w:val="0"/>
        <w:snapToGrid w:val="0"/>
        <w:spacing w:line="700" w:lineRule="exact"/>
        <w:ind w:firstLine="420" w:firstLineChars="200"/>
        <w:jc w:val="left"/>
        <w:textAlignment w:val="auto"/>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hint="eastAsia" w:ascii="宋体" w:hAnsi="宋体"/>
          <w:spacing w:val="-1"/>
          <w:kern w:val="0"/>
          <w:szCs w:val="21"/>
        </w:rPr>
        <w:t>）</w:t>
      </w:r>
    </w:p>
    <w:p>
      <w:pPr>
        <w:keepNext w:val="0"/>
        <w:keepLines w:val="0"/>
        <w:pageBreakBefore w:val="0"/>
        <w:widowControl w:val="0"/>
        <w:tabs>
          <w:tab w:val="left" w:pos="6825"/>
        </w:tabs>
        <w:kinsoku/>
        <w:overflowPunct/>
        <w:topLinePunct w:val="0"/>
        <w:autoSpaceDE w:val="0"/>
        <w:autoSpaceDN w:val="0"/>
        <w:bidi w:val="0"/>
        <w:adjustRightInd w:val="0"/>
        <w:snapToGrid w:val="0"/>
        <w:spacing w:line="700" w:lineRule="exact"/>
        <w:ind w:firstLine="420" w:firstLineChars="200"/>
        <w:jc w:val="left"/>
        <w:textAlignment w:val="auto"/>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keepNext w:val="0"/>
        <w:keepLines w:val="0"/>
        <w:pageBreakBefore w:val="0"/>
        <w:widowControl w:val="0"/>
        <w:tabs>
          <w:tab w:val="left" w:pos="6825"/>
        </w:tabs>
        <w:kinsoku/>
        <w:overflowPunct/>
        <w:topLinePunct w:val="0"/>
        <w:autoSpaceDE w:val="0"/>
        <w:autoSpaceDN w:val="0"/>
        <w:bidi w:val="0"/>
        <w:adjustRightInd w:val="0"/>
        <w:snapToGrid w:val="0"/>
        <w:spacing w:line="700" w:lineRule="exact"/>
        <w:ind w:firstLine="420" w:firstLineChars="200"/>
        <w:jc w:val="left"/>
        <w:textAlignment w:val="auto"/>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pPr>
        <w:keepNext w:val="0"/>
        <w:keepLines w:val="0"/>
        <w:pageBreakBefore w:val="0"/>
        <w:widowControl w:val="0"/>
        <w:tabs>
          <w:tab w:val="left" w:pos="5260"/>
        </w:tabs>
        <w:kinsoku/>
        <w:overflowPunct/>
        <w:topLinePunct w:val="0"/>
        <w:autoSpaceDE w:val="0"/>
        <w:autoSpaceDN w:val="0"/>
        <w:bidi w:val="0"/>
        <w:adjustRightInd w:val="0"/>
        <w:snapToGrid w:val="0"/>
        <w:spacing w:line="700" w:lineRule="exact"/>
        <w:ind w:firstLine="420" w:firstLineChars="200"/>
        <w:jc w:val="left"/>
        <w:textAlignment w:val="auto"/>
        <w:rPr>
          <w:rFonts w:ascii="宋体" w:hAnsi="宋体"/>
          <w:kern w:val="0"/>
          <w:szCs w:val="21"/>
        </w:rPr>
      </w:pPr>
      <w:r>
        <w:rPr>
          <w:rFonts w:hint="eastAsia" w:ascii="宋体" w:hAnsi="宋体"/>
          <w:kern w:val="0"/>
          <w:szCs w:val="21"/>
        </w:rPr>
        <w:t xml:space="preserve">委托代理人电话（手机）：                                          </w:t>
      </w:r>
    </w:p>
    <w:p>
      <w:pPr>
        <w:keepNext w:val="0"/>
        <w:keepLines w:val="0"/>
        <w:pageBreakBefore w:val="0"/>
        <w:widowControl w:val="0"/>
        <w:kinsoku/>
        <w:overflowPunct/>
        <w:topLinePunct w:val="0"/>
        <w:autoSpaceDE w:val="0"/>
        <w:autoSpaceDN w:val="0"/>
        <w:bidi w:val="0"/>
        <w:adjustRightInd w:val="0"/>
        <w:snapToGrid w:val="0"/>
        <w:spacing w:line="700" w:lineRule="exact"/>
        <w:ind w:firstLine="810" w:firstLineChars="386"/>
        <w:jc w:val="left"/>
        <w:textAlignment w:val="auto"/>
        <w:rPr>
          <w:rFonts w:ascii="宋体" w:hAnsi="宋体"/>
          <w:kern w:val="0"/>
          <w:szCs w:val="21"/>
        </w:rPr>
      </w:pPr>
      <w:r>
        <w:rPr>
          <w:rFonts w:hint="eastAsia" w:ascii="宋体" w:hAnsi="宋体"/>
          <w:kern w:val="0"/>
          <w:szCs w:val="21"/>
        </w:rPr>
        <w:t>附：法定代表人和委托代理人身份证明扫描件（双面）</w:t>
      </w:r>
    </w:p>
    <w:p>
      <w:pPr>
        <w:keepNext w:val="0"/>
        <w:keepLines w:val="0"/>
        <w:pageBreakBefore w:val="0"/>
        <w:widowControl w:val="0"/>
        <w:tabs>
          <w:tab w:val="left" w:pos="4005"/>
          <w:tab w:val="left" w:pos="4100"/>
          <w:tab w:val="left" w:pos="5040"/>
        </w:tabs>
        <w:kinsoku/>
        <w:wordWrap w:val="0"/>
        <w:overflowPunct/>
        <w:topLinePunct w:val="0"/>
        <w:autoSpaceDE w:val="0"/>
        <w:autoSpaceDN w:val="0"/>
        <w:bidi w:val="0"/>
        <w:adjustRightInd w:val="0"/>
        <w:snapToGrid w:val="0"/>
        <w:spacing w:line="700" w:lineRule="exact"/>
        <w:ind w:firstLine="3780"/>
        <w:jc w:val="right"/>
        <w:textAlignment w:val="auto"/>
        <w:rPr>
          <w:rFonts w:ascii="宋体" w:hAnsi="宋体"/>
          <w:kern w:val="0"/>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r>
        <w:rPr>
          <w:rFonts w:hint="eastAsia" w:ascii="宋体" w:hAnsi="宋体"/>
          <w:kern w:val="0"/>
          <w:szCs w:val="21"/>
        </w:rPr>
        <w:t xml:space="preserve"> </w:t>
      </w:r>
    </w:p>
    <w:p>
      <w:pPr>
        <w:keepNext w:val="0"/>
        <w:keepLines w:val="0"/>
        <w:pageBreakBefore w:val="0"/>
        <w:widowControl w:val="0"/>
        <w:tabs>
          <w:tab w:val="left" w:pos="1680"/>
          <w:tab w:val="left" w:pos="4215"/>
          <w:tab w:val="left" w:pos="4305"/>
          <w:tab w:val="left" w:pos="8000"/>
        </w:tabs>
        <w:kinsoku/>
        <w:overflowPunct/>
        <w:topLinePunct w:val="0"/>
        <w:autoSpaceDE w:val="0"/>
        <w:autoSpaceDN w:val="0"/>
        <w:bidi w:val="0"/>
        <w:adjustRightInd w:val="0"/>
        <w:snapToGrid w:val="0"/>
        <w:spacing w:line="700" w:lineRule="exact"/>
        <w:ind w:firstLine="420" w:firstLineChars="200"/>
        <w:textAlignment w:val="auto"/>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keepNext w:val="0"/>
        <w:keepLines w:val="0"/>
        <w:pageBreakBefore w:val="0"/>
        <w:widowControl w:val="0"/>
        <w:kinsoku/>
        <w:overflowPunct/>
        <w:topLinePunct w:val="0"/>
        <w:autoSpaceDE w:val="0"/>
        <w:autoSpaceDN w:val="0"/>
        <w:bidi w:val="0"/>
        <w:adjustRightInd w:val="0"/>
        <w:snapToGrid w:val="0"/>
        <w:spacing w:line="700" w:lineRule="exact"/>
        <w:ind w:firstLine="420" w:firstLineChars="200"/>
        <w:textAlignment w:val="auto"/>
        <w:rPr>
          <w:rFonts w:ascii="宋体" w:hAnsi="宋体"/>
        </w:rPr>
      </w:pPr>
      <w:r>
        <w:rPr>
          <w:rFonts w:hint="eastAsia" w:ascii="宋体" w:hAnsi="宋体"/>
          <w:kern w:val="0"/>
          <w:szCs w:val="21"/>
        </w:rPr>
        <w:t>2.</w:t>
      </w:r>
      <w:r>
        <w:rPr>
          <w:rFonts w:hint="eastAsia" w:ascii="宋体" w:hAnsi="宋体"/>
        </w:rPr>
        <w:t>授权委托书</w:t>
      </w:r>
      <w:r>
        <w:rPr>
          <w:rFonts w:ascii="宋体" w:hAnsi="宋体"/>
        </w:rPr>
        <w:t>需按上述格式填写完整，不可缺少内容。在此基础上增加内容的不影响其有效性。</w:t>
      </w:r>
    </w:p>
    <w:p>
      <w:pPr>
        <w:autoSpaceDE w:val="0"/>
        <w:autoSpaceDN w:val="0"/>
        <w:adjustRightInd w:val="0"/>
        <w:snapToGrid w:val="0"/>
        <w:jc w:val="center"/>
        <w:rPr>
          <w:rFonts w:ascii="宋体" w:hAnsi="宋体"/>
        </w:rPr>
      </w:pPr>
      <w:r>
        <w:rPr>
          <w:rFonts w:ascii="宋体" w:hAnsi="宋体"/>
        </w:rPr>
        <w:br w:type="page"/>
      </w:r>
    </w:p>
    <w:p>
      <w:pPr>
        <w:pStyle w:val="7"/>
        <w:spacing w:before="0" w:after="0" w:line="240" w:lineRule="auto"/>
        <w:jc w:val="center"/>
        <w:rPr>
          <w:rFonts w:ascii="宋体" w:hAnsi="宋体"/>
        </w:rPr>
      </w:pPr>
      <w:bookmarkStart w:id="615" w:name="_Toc287620831"/>
      <w:bookmarkStart w:id="616" w:name="_Toc277082658"/>
      <w:bookmarkStart w:id="617" w:name="_Toc224103512"/>
      <w:bookmarkStart w:id="618" w:name="_Toc287607884"/>
      <w:bookmarkStart w:id="619" w:name="_Toc430530547"/>
      <w:bookmarkStart w:id="620" w:name="_Toc5288"/>
      <w:bookmarkStart w:id="621" w:name="_Toc9914"/>
      <w:r>
        <w:rPr>
          <w:rFonts w:hint="eastAsia" w:ascii="宋体" w:hAnsi="宋体"/>
          <w:b w:val="0"/>
          <w:bCs w:val="0"/>
        </w:rPr>
        <w:t>（二）</w:t>
      </w:r>
      <w:bookmarkEnd w:id="615"/>
      <w:bookmarkEnd w:id="616"/>
      <w:bookmarkEnd w:id="617"/>
      <w:bookmarkEnd w:id="618"/>
      <w:bookmarkEnd w:id="619"/>
      <w:bookmarkStart w:id="622" w:name="_Toc287607887"/>
      <w:bookmarkStart w:id="623" w:name="_Toc277082659"/>
      <w:r>
        <w:rPr>
          <w:rFonts w:hint="eastAsia" w:ascii="宋体" w:hAnsi="宋体"/>
          <w:b w:val="0"/>
          <w:bCs w:val="0"/>
        </w:rPr>
        <w:t>投标人基本情况表</w:t>
      </w:r>
      <w:bookmarkEnd w:id="620"/>
      <w:bookmarkEnd w:id="621"/>
    </w:p>
    <w:tbl>
      <w:tblPr>
        <w:tblStyle w:val="53"/>
        <w:tblW w:w="9770"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61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投标人名称</w:t>
            </w:r>
          </w:p>
        </w:tc>
        <w:tc>
          <w:tcPr>
            <w:tcW w:w="7908" w:type="dxa"/>
            <w:gridSpan w:val="9"/>
            <w:noWrap w:val="0"/>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注册地址</w:t>
            </w:r>
          </w:p>
        </w:tc>
        <w:tc>
          <w:tcPr>
            <w:tcW w:w="3450" w:type="dxa"/>
            <w:gridSpan w:val="5"/>
            <w:noWrap w:val="0"/>
            <w:vAlign w:val="center"/>
          </w:tcPr>
          <w:p>
            <w:pPr>
              <w:autoSpaceDE w:val="0"/>
              <w:autoSpaceDN w:val="0"/>
              <w:adjustRightInd w:val="0"/>
              <w:snapToGrid w:val="0"/>
              <w:jc w:val="center"/>
              <w:rPr>
                <w:rFonts w:ascii="宋体" w:hAnsi="宋体"/>
                <w:kern w:val="0"/>
                <w:szCs w:val="21"/>
              </w:rPr>
            </w:pPr>
          </w:p>
        </w:tc>
        <w:tc>
          <w:tcPr>
            <w:tcW w:w="1392"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邮政编码</w:t>
            </w:r>
          </w:p>
        </w:tc>
        <w:tc>
          <w:tcPr>
            <w:tcW w:w="3066" w:type="dxa"/>
            <w:gridSpan w:val="3"/>
            <w:noWrap w:val="0"/>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联系方式</w:t>
            </w:r>
          </w:p>
        </w:tc>
        <w:tc>
          <w:tcPr>
            <w:tcW w:w="967"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联系人</w:t>
            </w:r>
          </w:p>
        </w:tc>
        <w:tc>
          <w:tcPr>
            <w:tcW w:w="2483" w:type="dxa"/>
            <w:gridSpan w:val="4"/>
            <w:noWrap w:val="0"/>
            <w:vAlign w:val="center"/>
          </w:tcPr>
          <w:p>
            <w:pPr>
              <w:autoSpaceDE w:val="0"/>
              <w:autoSpaceDN w:val="0"/>
              <w:adjustRightInd w:val="0"/>
              <w:snapToGrid w:val="0"/>
              <w:jc w:val="center"/>
              <w:rPr>
                <w:rFonts w:ascii="宋体" w:hAnsi="宋体"/>
                <w:kern w:val="0"/>
                <w:szCs w:val="21"/>
              </w:rPr>
            </w:pPr>
          </w:p>
        </w:tc>
        <w:tc>
          <w:tcPr>
            <w:tcW w:w="1392"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电话</w:t>
            </w:r>
          </w:p>
        </w:tc>
        <w:tc>
          <w:tcPr>
            <w:tcW w:w="3066" w:type="dxa"/>
            <w:gridSpan w:val="3"/>
            <w:noWrap w:val="0"/>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noWrap w:val="0"/>
            <w:vAlign w:val="center"/>
          </w:tcPr>
          <w:p>
            <w:pPr>
              <w:autoSpaceDE w:val="0"/>
              <w:autoSpaceDN w:val="0"/>
              <w:adjustRightInd w:val="0"/>
              <w:snapToGrid w:val="0"/>
              <w:jc w:val="center"/>
              <w:rPr>
                <w:rFonts w:ascii="宋体" w:hAnsi="宋体"/>
                <w:kern w:val="0"/>
                <w:szCs w:val="21"/>
              </w:rPr>
            </w:pPr>
          </w:p>
        </w:tc>
        <w:tc>
          <w:tcPr>
            <w:tcW w:w="967" w:type="dxa"/>
            <w:noWrap w:val="0"/>
            <w:vAlign w:val="center"/>
          </w:tcPr>
          <w:p>
            <w:pPr>
              <w:tabs>
                <w:tab w:val="left" w:pos="540"/>
              </w:tabs>
              <w:autoSpaceDE w:val="0"/>
              <w:autoSpaceDN w:val="0"/>
              <w:adjustRightInd w:val="0"/>
              <w:snapToGrid w:val="0"/>
              <w:jc w:val="center"/>
              <w:rPr>
                <w:rFonts w:ascii="宋体" w:hAnsi="宋体"/>
                <w:kern w:val="0"/>
                <w:szCs w:val="21"/>
              </w:rPr>
            </w:pPr>
            <w:r>
              <w:rPr>
                <w:rFonts w:hint="eastAsia" w:ascii="宋体" w:hAnsi="宋体" w:cs="MingLiU"/>
                <w:kern w:val="0"/>
                <w:szCs w:val="21"/>
              </w:rPr>
              <w:t>传  真</w:t>
            </w:r>
          </w:p>
        </w:tc>
        <w:tc>
          <w:tcPr>
            <w:tcW w:w="2483" w:type="dxa"/>
            <w:gridSpan w:val="4"/>
            <w:noWrap w:val="0"/>
            <w:vAlign w:val="center"/>
          </w:tcPr>
          <w:p>
            <w:pPr>
              <w:autoSpaceDE w:val="0"/>
              <w:autoSpaceDN w:val="0"/>
              <w:adjustRightInd w:val="0"/>
              <w:snapToGrid w:val="0"/>
              <w:jc w:val="center"/>
              <w:rPr>
                <w:rFonts w:ascii="宋体" w:hAnsi="宋体"/>
                <w:kern w:val="0"/>
                <w:szCs w:val="21"/>
              </w:rPr>
            </w:pPr>
          </w:p>
        </w:tc>
        <w:tc>
          <w:tcPr>
            <w:tcW w:w="1392"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网址</w:t>
            </w:r>
          </w:p>
        </w:tc>
        <w:tc>
          <w:tcPr>
            <w:tcW w:w="3066" w:type="dxa"/>
            <w:gridSpan w:val="3"/>
            <w:noWrap w:val="0"/>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组织结构</w:t>
            </w:r>
          </w:p>
        </w:tc>
        <w:tc>
          <w:tcPr>
            <w:tcW w:w="7908" w:type="dxa"/>
            <w:gridSpan w:val="9"/>
            <w:noWrap w:val="0"/>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法定代表人</w:t>
            </w:r>
          </w:p>
        </w:tc>
        <w:tc>
          <w:tcPr>
            <w:tcW w:w="967"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noWrap w:val="0"/>
            <w:vAlign w:val="center"/>
          </w:tcPr>
          <w:p>
            <w:pPr>
              <w:autoSpaceDE w:val="0"/>
              <w:autoSpaceDN w:val="0"/>
              <w:adjustRightInd w:val="0"/>
              <w:snapToGrid w:val="0"/>
              <w:jc w:val="center"/>
              <w:rPr>
                <w:rFonts w:ascii="宋体" w:hAnsi="宋体"/>
                <w:kern w:val="0"/>
                <w:szCs w:val="21"/>
              </w:rPr>
            </w:pPr>
          </w:p>
        </w:tc>
        <w:tc>
          <w:tcPr>
            <w:tcW w:w="1356" w:type="dxa"/>
            <w:gridSpan w:val="2"/>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noWrap w:val="0"/>
            <w:vAlign w:val="center"/>
          </w:tcPr>
          <w:p>
            <w:pPr>
              <w:autoSpaceDE w:val="0"/>
              <w:autoSpaceDN w:val="0"/>
              <w:adjustRightInd w:val="0"/>
              <w:snapToGrid w:val="0"/>
              <w:jc w:val="center"/>
              <w:rPr>
                <w:rFonts w:ascii="宋体" w:hAnsi="宋体"/>
                <w:kern w:val="0"/>
                <w:szCs w:val="21"/>
              </w:rPr>
            </w:pPr>
          </w:p>
        </w:tc>
        <w:tc>
          <w:tcPr>
            <w:tcW w:w="925"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612" w:type="dxa"/>
            <w:noWrap w:val="0"/>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技术负责人</w:t>
            </w:r>
          </w:p>
        </w:tc>
        <w:tc>
          <w:tcPr>
            <w:tcW w:w="967"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noWrap w:val="0"/>
            <w:vAlign w:val="center"/>
          </w:tcPr>
          <w:p>
            <w:pPr>
              <w:autoSpaceDE w:val="0"/>
              <w:autoSpaceDN w:val="0"/>
              <w:adjustRightInd w:val="0"/>
              <w:snapToGrid w:val="0"/>
              <w:jc w:val="center"/>
              <w:rPr>
                <w:rFonts w:ascii="宋体" w:hAnsi="宋体"/>
                <w:kern w:val="0"/>
                <w:szCs w:val="21"/>
              </w:rPr>
            </w:pPr>
          </w:p>
        </w:tc>
        <w:tc>
          <w:tcPr>
            <w:tcW w:w="1356" w:type="dxa"/>
            <w:gridSpan w:val="2"/>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noWrap w:val="0"/>
            <w:vAlign w:val="center"/>
          </w:tcPr>
          <w:p>
            <w:pPr>
              <w:autoSpaceDE w:val="0"/>
              <w:autoSpaceDN w:val="0"/>
              <w:adjustRightInd w:val="0"/>
              <w:snapToGrid w:val="0"/>
              <w:jc w:val="center"/>
              <w:rPr>
                <w:rFonts w:ascii="宋体" w:hAnsi="宋体"/>
                <w:kern w:val="0"/>
                <w:szCs w:val="21"/>
              </w:rPr>
            </w:pPr>
          </w:p>
        </w:tc>
        <w:tc>
          <w:tcPr>
            <w:tcW w:w="925"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612" w:type="dxa"/>
            <w:noWrap w:val="0"/>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成立时间</w:t>
            </w:r>
          </w:p>
        </w:tc>
        <w:tc>
          <w:tcPr>
            <w:tcW w:w="1991" w:type="dxa"/>
            <w:gridSpan w:val="2"/>
            <w:noWrap w:val="0"/>
            <w:vAlign w:val="center"/>
          </w:tcPr>
          <w:p>
            <w:pPr>
              <w:autoSpaceDE w:val="0"/>
              <w:autoSpaceDN w:val="0"/>
              <w:adjustRightInd w:val="0"/>
              <w:snapToGrid w:val="0"/>
              <w:jc w:val="center"/>
              <w:rPr>
                <w:rFonts w:ascii="宋体" w:hAnsi="宋体"/>
                <w:kern w:val="0"/>
                <w:szCs w:val="21"/>
              </w:rPr>
            </w:pPr>
          </w:p>
        </w:tc>
        <w:tc>
          <w:tcPr>
            <w:tcW w:w="5917" w:type="dxa"/>
            <w:gridSpan w:val="7"/>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企业资质等级</w:t>
            </w:r>
          </w:p>
        </w:tc>
        <w:tc>
          <w:tcPr>
            <w:tcW w:w="1991" w:type="dxa"/>
            <w:gridSpan w:val="2"/>
            <w:noWrap w:val="0"/>
            <w:vAlign w:val="center"/>
          </w:tcPr>
          <w:p>
            <w:pPr>
              <w:autoSpaceDE w:val="0"/>
              <w:autoSpaceDN w:val="0"/>
              <w:adjustRightInd w:val="0"/>
              <w:snapToGrid w:val="0"/>
              <w:jc w:val="center"/>
              <w:rPr>
                <w:rFonts w:ascii="宋体" w:hAnsi="宋体"/>
                <w:kern w:val="0"/>
                <w:szCs w:val="21"/>
              </w:rPr>
            </w:pPr>
          </w:p>
        </w:tc>
        <w:tc>
          <w:tcPr>
            <w:tcW w:w="904" w:type="dxa"/>
            <w:vMerge w:val="restart"/>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其中</w:t>
            </w:r>
          </w:p>
        </w:tc>
        <w:tc>
          <w:tcPr>
            <w:tcW w:w="2476" w:type="dxa"/>
            <w:gridSpan w:val="4"/>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项目经理</w:t>
            </w:r>
          </w:p>
        </w:tc>
        <w:tc>
          <w:tcPr>
            <w:tcW w:w="2537" w:type="dxa"/>
            <w:gridSpan w:val="2"/>
            <w:noWrap w:val="0"/>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营业执照号</w:t>
            </w:r>
          </w:p>
        </w:tc>
        <w:tc>
          <w:tcPr>
            <w:tcW w:w="1991" w:type="dxa"/>
            <w:gridSpan w:val="2"/>
            <w:noWrap w:val="0"/>
            <w:vAlign w:val="center"/>
          </w:tcPr>
          <w:p>
            <w:pPr>
              <w:autoSpaceDE w:val="0"/>
              <w:autoSpaceDN w:val="0"/>
              <w:adjustRightInd w:val="0"/>
              <w:snapToGrid w:val="0"/>
              <w:jc w:val="center"/>
              <w:rPr>
                <w:rFonts w:ascii="宋体" w:hAnsi="宋体"/>
                <w:kern w:val="0"/>
                <w:szCs w:val="21"/>
              </w:rPr>
            </w:pPr>
          </w:p>
        </w:tc>
        <w:tc>
          <w:tcPr>
            <w:tcW w:w="904" w:type="dxa"/>
            <w:vMerge w:val="continue"/>
            <w:noWrap w:val="0"/>
            <w:vAlign w:val="center"/>
          </w:tcPr>
          <w:p>
            <w:pPr>
              <w:autoSpaceDE w:val="0"/>
              <w:autoSpaceDN w:val="0"/>
              <w:adjustRightInd w:val="0"/>
              <w:snapToGrid w:val="0"/>
              <w:jc w:val="center"/>
              <w:rPr>
                <w:rFonts w:ascii="宋体" w:hAnsi="宋体"/>
                <w:kern w:val="0"/>
                <w:szCs w:val="21"/>
              </w:rPr>
            </w:pPr>
          </w:p>
        </w:tc>
        <w:tc>
          <w:tcPr>
            <w:tcW w:w="2476" w:type="dxa"/>
            <w:gridSpan w:val="4"/>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高级职称人员</w:t>
            </w:r>
          </w:p>
        </w:tc>
        <w:tc>
          <w:tcPr>
            <w:tcW w:w="2537" w:type="dxa"/>
            <w:gridSpan w:val="2"/>
            <w:noWrap w:val="0"/>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注册资金</w:t>
            </w:r>
          </w:p>
        </w:tc>
        <w:tc>
          <w:tcPr>
            <w:tcW w:w="1991" w:type="dxa"/>
            <w:gridSpan w:val="2"/>
            <w:noWrap w:val="0"/>
            <w:vAlign w:val="center"/>
          </w:tcPr>
          <w:p>
            <w:pPr>
              <w:autoSpaceDE w:val="0"/>
              <w:autoSpaceDN w:val="0"/>
              <w:adjustRightInd w:val="0"/>
              <w:snapToGrid w:val="0"/>
              <w:jc w:val="center"/>
              <w:rPr>
                <w:rFonts w:ascii="宋体" w:hAnsi="宋体"/>
                <w:kern w:val="0"/>
                <w:szCs w:val="21"/>
              </w:rPr>
            </w:pPr>
          </w:p>
        </w:tc>
        <w:tc>
          <w:tcPr>
            <w:tcW w:w="904" w:type="dxa"/>
            <w:vMerge w:val="continue"/>
            <w:noWrap w:val="0"/>
            <w:vAlign w:val="center"/>
          </w:tcPr>
          <w:p>
            <w:pPr>
              <w:autoSpaceDE w:val="0"/>
              <w:autoSpaceDN w:val="0"/>
              <w:adjustRightInd w:val="0"/>
              <w:snapToGrid w:val="0"/>
              <w:jc w:val="center"/>
              <w:rPr>
                <w:rFonts w:ascii="宋体" w:hAnsi="宋体"/>
                <w:kern w:val="0"/>
                <w:szCs w:val="21"/>
              </w:rPr>
            </w:pPr>
          </w:p>
        </w:tc>
        <w:tc>
          <w:tcPr>
            <w:tcW w:w="2476" w:type="dxa"/>
            <w:gridSpan w:val="4"/>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中级职称人员</w:t>
            </w:r>
          </w:p>
        </w:tc>
        <w:tc>
          <w:tcPr>
            <w:tcW w:w="2537" w:type="dxa"/>
            <w:gridSpan w:val="2"/>
            <w:noWrap w:val="0"/>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开户银行</w:t>
            </w:r>
          </w:p>
        </w:tc>
        <w:tc>
          <w:tcPr>
            <w:tcW w:w="1991" w:type="dxa"/>
            <w:gridSpan w:val="2"/>
            <w:noWrap w:val="0"/>
            <w:vAlign w:val="center"/>
          </w:tcPr>
          <w:p>
            <w:pPr>
              <w:autoSpaceDE w:val="0"/>
              <w:autoSpaceDN w:val="0"/>
              <w:adjustRightInd w:val="0"/>
              <w:snapToGrid w:val="0"/>
              <w:jc w:val="center"/>
              <w:rPr>
                <w:rFonts w:ascii="宋体" w:hAnsi="宋体"/>
                <w:kern w:val="0"/>
                <w:szCs w:val="21"/>
              </w:rPr>
            </w:pPr>
          </w:p>
        </w:tc>
        <w:tc>
          <w:tcPr>
            <w:tcW w:w="904" w:type="dxa"/>
            <w:vMerge w:val="continue"/>
            <w:noWrap w:val="0"/>
            <w:vAlign w:val="center"/>
          </w:tcPr>
          <w:p>
            <w:pPr>
              <w:autoSpaceDE w:val="0"/>
              <w:autoSpaceDN w:val="0"/>
              <w:adjustRightInd w:val="0"/>
              <w:snapToGrid w:val="0"/>
              <w:jc w:val="center"/>
              <w:rPr>
                <w:rFonts w:ascii="宋体" w:hAnsi="宋体"/>
                <w:kern w:val="0"/>
                <w:szCs w:val="21"/>
              </w:rPr>
            </w:pPr>
          </w:p>
        </w:tc>
        <w:tc>
          <w:tcPr>
            <w:tcW w:w="2476" w:type="dxa"/>
            <w:gridSpan w:val="4"/>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初级职称人员</w:t>
            </w:r>
          </w:p>
        </w:tc>
        <w:tc>
          <w:tcPr>
            <w:tcW w:w="2537" w:type="dxa"/>
            <w:gridSpan w:val="2"/>
            <w:noWrap w:val="0"/>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账号</w:t>
            </w:r>
          </w:p>
        </w:tc>
        <w:tc>
          <w:tcPr>
            <w:tcW w:w="1991" w:type="dxa"/>
            <w:gridSpan w:val="2"/>
            <w:noWrap w:val="0"/>
            <w:vAlign w:val="center"/>
          </w:tcPr>
          <w:p>
            <w:pPr>
              <w:autoSpaceDE w:val="0"/>
              <w:autoSpaceDN w:val="0"/>
              <w:adjustRightInd w:val="0"/>
              <w:snapToGrid w:val="0"/>
              <w:jc w:val="center"/>
              <w:rPr>
                <w:rFonts w:ascii="宋体" w:hAnsi="宋体"/>
                <w:kern w:val="0"/>
                <w:szCs w:val="21"/>
              </w:rPr>
            </w:pPr>
          </w:p>
        </w:tc>
        <w:tc>
          <w:tcPr>
            <w:tcW w:w="904" w:type="dxa"/>
            <w:vMerge w:val="continue"/>
            <w:noWrap w:val="0"/>
            <w:vAlign w:val="center"/>
          </w:tcPr>
          <w:p>
            <w:pPr>
              <w:autoSpaceDE w:val="0"/>
              <w:autoSpaceDN w:val="0"/>
              <w:adjustRightInd w:val="0"/>
              <w:snapToGrid w:val="0"/>
              <w:jc w:val="center"/>
              <w:rPr>
                <w:rFonts w:ascii="宋体" w:hAnsi="宋体"/>
                <w:kern w:val="0"/>
                <w:szCs w:val="21"/>
              </w:rPr>
            </w:pPr>
          </w:p>
        </w:tc>
        <w:tc>
          <w:tcPr>
            <w:tcW w:w="2476" w:type="dxa"/>
            <w:gridSpan w:val="4"/>
            <w:noWrap w:val="0"/>
            <w:vAlign w:val="center"/>
          </w:tcPr>
          <w:p>
            <w:pPr>
              <w:tabs>
                <w:tab w:val="left" w:pos="1240"/>
              </w:tabs>
              <w:autoSpaceDE w:val="0"/>
              <w:autoSpaceDN w:val="0"/>
              <w:adjustRightInd w:val="0"/>
              <w:snapToGrid w:val="0"/>
              <w:jc w:val="center"/>
              <w:rPr>
                <w:rFonts w:ascii="宋体" w:hAnsi="宋体"/>
                <w:kern w:val="0"/>
                <w:szCs w:val="21"/>
              </w:rPr>
            </w:pPr>
            <w:r>
              <w:rPr>
                <w:rFonts w:hint="eastAsia" w:ascii="宋体" w:hAnsi="宋体" w:cs="MingLiU"/>
                <w:kern w:val="0"/>
                <w:szCs w:val="21"/>
              </w:rPr>
              <w:t>技</w:t>
            </w:r>
            <w:r>
              <w:rPr>
                <w:rFonts w:ascii="宋体" w:hAnsi="宋体"/>
                <w:kern w:val="0"/>
                <w:szCs w:val="21"/>
              </w:rPr>
              <w:tab/>
            </w:r>
            <w:r>
              <w:rPr>
                <w:rFonts w:hint="eastAsia" w:ascii="宋体" w:hAnsi="宋体" w:cs="MingLiU"/>
                <w:kern w:val="0"/>
                <w:szCs w:val="21"/>
              </w:rPr>
              <w:t>工</w:t>
            </w:r>
          </w:p>
        </w:tc>
        <w:tc>
          <w:tcPr>
            <w:tcW w:w="2537" w:type="dxa"/>
            <w:gridSpan w:val="2"/>
            <w:noWrap w:val="0"/>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经营范围</w:t>
            </w:r>
          </w:p>
        </w:tc>
        <w:tc>
          <w:tcPr>
            <w:tcW w:w="7908" w:type="dxa"/>
            <w:gridSpan w:val="9"/>
            <w:noWrap w:val="0"/>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c>
          <w:tcPr>
            <w:tcW w:w="7908" w:type="dxa"/>
            <w:gridSpan w:val="9"/>
            <w:noWrap w:val="0"/>
            <w:vAlign w:val="center"/>
          </w:tcPr>
          <w:p>
            <w:pPr>
              <w:autoSpaceDE w:val="0"/>
              <w:autoSpaceDN w:val="0"/>
              <w:adjustRightInd w:val="0"/>
              <w:snapToGrid w:val="0"/>
              <w:jc w:val="center"/>
              <w:rPr>
                <w:rFonts w:ascii="宋体" w:hAnsi="宋体"/>
                <w:kern w:val="0"/>
                <w:szCs w:val="21"/>
              </w:rPr>
            </w:pPr>
          </w:p>
        </w:tc>
      </w:tr>
    </w:tbl>
    <w:p>
      <w:pPr>
        <w:spacing w:line="360" w:lineRule="auto"/>
        <w:jc w:val="center"/>
        <w:rPr>
          <w:rFonts w:ascii="宋体" w:hAnsi="宋体"/>
          <w:szCs w:val="21"/>
        </w:rPr>
      </w:pPr>
    </w:p>
    <w:p>
      <w:pPr>
        <w:pStyle w:val="7"/>
        <w:spacing w:before="0" w:after="0" w:line="240" w:lineRule="auto"/>
        <w:jc w:val="center"/>
        <w:rPr>
          <w:rFonts w:ascii="宋体" w:hAnsi="宋体"/>
        </w:rPr>
      </w:pPr>
      <w:r>
        <w:rPr>
          <w:rFonts w:ascii="宋体" w:hAnsi="宋体"/>
          <w:szCs w:val="21"/>
        </w:rPr>
        <w:br w:type="page"/>
      </w:r>
      <w:bookmarkStart w:id="624" w:name="_Toc3838"/>
      <w:bookmarkStart w:id="625" w:name="_Toc534185840"/>
      <w:bookmarkStart w:id="626" w:name="_Toc509218863"/>
      <w:bookmarkStart w:id="627" w:name="_Toc25844"/>
      <w:r>
        <w:rPr>
          <w:rFonts w:hint="eastAsia" w:ascii="宋体" w:hAnsi="宋体"/>
          <w:b w:val="0"/>
          <w:bCs w:val="0"/>
        </w:rPr>
        <w:t>（三）项目管理机构</w:t>
      </w:r>
      <w:bookmarkEnd w:id="624"/>
      <w:bookmarkEnd w:id="625"/>
      <w:bookmarkEnd w:id="626"/>
      <w:bookmarkEnd w:id="627"/>
    </w:p>
    <w:p>
      <w:pPr>
        <w:autoSpaceDE w:val="0"/>
        <w:autoSpaceDN w:val="0"/>
        <w:adjustRightInd w:val="0"/>
        <w:snapToGrid w:val="0"/>
        <w:spacing w:line="360" w:lineRule="auto"/>
        <w:jc w:val="center"/>
        <w:rPr>
          <w:rFonts w:ascii="宋体" w:hAnsi="宋体" w:cs="MingLiU"/>
          <w:kern w:val="0"/>
          <w:sz w:val="28"/>
          <w:szCs w:val="28"/>
        </w:rPr>
      </w:pPr>
      <w:r>
        <w:rPr>
          <w:rFonts w:hint="eastAsia" w:ascii="宋体" w:hAnsi="宋体" w:cs="MingLiU"/>
          <w:kern w:val="0"/>
          <w:sz w:val="28"/>
          <w:szCs w:val="28"/>
        </w:rPr>
        <w:t>项目管理机构组成表</w:t>
      </w:r>
    </w:p>
    <w:tbl>
      <w:tblPr>
        <w:tblStyle w:val="53"/>
        <w:tblW w:w="9756"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161"/>
        <w:gridCol w:w="705"/>
        <w:gridCol w:w="795"/>
        <w:gridCol w:w="1200"/>
        <w:gridCol w:w="735"/>
        <w:gridCol w:w="735"/>
        <w:gridCol w:w="825"/>
        <w:gridCol w:w="2430"/>
        <w:gridCol w:w="117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13" w:hRule="exact"/>
        </w:trPr>
        <w:tc>
          <w:tcPr>
            <w:tcW w:w="1161" w:type="dxa"/>
            <w:vMerge w:val="restart"/>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职务</w:t>
            </w:r>
          </w:p>
        </w:tc>
        <w:tc>
          <w:tcPr>
            <w:tcW w:w="705" w:type="dxa"/>
            <w:vMerge w:val="restart"/>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姓名</w:t>
            </w:r>
          </w:p>
        </w:tc>
        <w:tc>
          <w:tcPr>
            <w:tcW w:w="795" w:type="dxa"/>
            <w:vMerge w:val="restart"/>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职称</w:t>
            </w:r>
          </w:p>
        </w:tc>
        <w:tc>
          <w:tcPr>
            <w:tcW w:w="5925" w:type="dxa"/>
            <w:gridSpan w:val="5"/>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执业或职业资格证明</w:t>
            </w:r>
          </w:p>
        </w:tc>
        <w:tc>
          <w:tcPr>
            <w:tcW w:w="1170"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3" w:hRule="exact"/>
        </w:trPr>
        <w:tc>
          <w:tcPr>
            <w:tcW w:w="1161" w:type="dxa"/>
            <w:vMerge w:val="continue"/>
            <w:noWrap w:val="0"/>
            <w:vAlign w:val="top"/>
          </w:tcPr>
          <w:p>
            <w:pPr>
              <w:autoSpaceDE w:val="0"/>
              <w:autoSpaceDN w:val="0"/>
              <w:adjustRightInd w:val="0"/>
              <w:snapToGrid w:val="0"/>
              <w:jc w:val="left"/>
              <w:rPr>
                <w:rFonts w:ascii="宋体" w:hAnsi="宋体"/>
                <w:kern w:val="0"/>
                <w:szCs w:val="21"/>
              </w:rPr>
            </w:pPr>
          </w:p>
        </w:tc>
        <w:tc>
          <w:tcPr>
            <w:tcW w:w="705" w:type="dxa"/>
            <w:vMerge w:val="continue"/>
            <w:noWrap w:val="0"/>
            <w:vAlign w:val="top"/>
          </w:tcPr>
          <w:p>
            <w:pPr>
              <w:autoSpaceDE w:val="0"/>
              <w:autoSpaceDN w:val="0"/>
              <w:adjustRightInd w:val="0"/>
              <w:snapToGrid w:val="0"/>
              <w:jc w:val="left"/>
              <w:rPr>
                <w:rFonts w:ascii="宋体" w:hAnsi="宋体"/>
                <w:kern w:val="0"/>
                <w:szCs w:val="21"/>
              </w:rPr>
            </w:pPr>
          </w:p>
        </w:tc>
        <w:tc>
          <w:tcPr>
            <w:tcW w:w="795" w:type="dxa"/>
            <w:vMerge w:val="continue"/>
            <w:noWrap w:val="0"/>
            <w:vAlign w:val="top"/>
          </w:tcPr>
          <w:p>
            <w:pPr>
              <w:autoSpaceDE w:val="0"/>
              <w:autoSpaceDN w:val="0"/>
              <w:adjustRightInd w:val="0"/>
              <w:snapToGrid w:val="0"/>
              <w:jc w:val="left"/>
              <w:rPr>
                <w:rFonts w:ascii="宋体" w:hAnsi="宋体"/>
                <w:kern w:val="0"/>
                <w:szCs w:val="21"/>
              </w:rPr>
            </w:pPr>
          </w:p>
        </w:tc>
        <w:tc>
          <w:tcPr>
            <w:tcW w:w="1200"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证书名称</w:t>
            </w:r>
          </w:p>
        </w:tc>
        <w:tc>
          <w:tcPr>
            <w:tcW w:w="735"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级别</w:t>
            </w:r>
          </w:p>
        </w:tc>
        <w:tc>
          <w:tcPr>
            <w:tcW w:w="735"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证号</w:t>
            </w:r>
          </w:p>
        </w:tc>
        <w:tc>
          <w:tcPr>
            <w:tcW w:w="825"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专业</w:t>
            </w:r>
          </w:p>
        </w:tc>
        <w:tc>
          <w:tcPr>
            <w:tcW w:w="2430"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养老保险</w:t>
            </w:r>
          </w:p>
        </w:tc>
        <w:tc>
          <w:tcPr>
            <w:tcW w:w="1170" w:type="dxa"/>
            <w:noWrap w:val="0"/>
            <w:vAlign w:val="top"/>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3" w:hRule="exact"/>
        </w:trPr>
        <w:tc>
          <w:tcPr>
            <w:tcW w:w="1161"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项目经理</w:t>
            </w:r>
          </w:p>
        </w:tc>
        <w:tc>
          <w:tcPr>
            <w:tcW w:w="705" w:type="dxa"/>
            <w:noWrap w:val="0"/>
            <w:vAlign w:val="top"/>
          </w:tcPr>
          <w:p>
            <w:pPr>
              <w:autoSpaceDE w:val="0"/>
              <w:autoSpaceDN w:val="0"/>
              <w:adjustRightInd w:val="0"/>
              <w:snapToGrid w:val="0"/>
              <w:jc w:val="left"/>
              <w:rPr>
                <w:rFonts w:ascii="宋体" w:hAnsi="宋体"/>
                <w:kern w:val="0"/>
                <w:szCs w:val="21"/>
              </w:rPr>
            </w:pPr>
          </w:p>
        </w:tc>
        <w:tc>
          <w:tcPr>
            <w:tcW w:w="795" w:type="dxa"/>
            <w:noWrap w:val="0"/>
            <w:vAlign w:val="top"/>
          </w:tcPr>
          <w:p>
            <w:pPr>
              <w:autoSpaceDE w:val="0"/>
              <w:autoSpaceDN w:val="0"/>
              <w:adjustRightInd w:val="0"/>
              <w:snapToGrid w:val="0"/>
              <w:jc w:val="left"/>
              <w:rPr>
                <w:rFonts w:ascii="宋体" w:hAnsi="宋体"/>
                <w:kern w:val="0"/>
                <w:szCs w:val="21"/>
              </w:rPr>
            </w:pPr>
          </w:p>
        </w:tc>
        <w:tc>
          <w:tcPr>
            <w:tcW w:w="1200"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825" w:type="dxa"/>
            <w:noWrap w:val="0"/>
            <w:vAlign w:val="top"/>
          </w:tcPr>
          <w:p>
            <w:pPr>
              <w:autoSpaceDE w:val="0"/>
              <w:autoSpaceDN w:val="0"/>
              <w:adjustRightInd w:val="0"/>
              <w:snapToGrid w:val="0"/>
              <w:jc w:val="left"/>
              <w:rPr>
                <w:rFonts w:ascii="宋体" w:hAnsi="宋体"/>
                <w:kern w:val="0"/>
                <w:szCs w:val="21"/>
              </w:rPr>
            </w:pPr>
          </w:p>
        </w:tc>
        <w:tc>
          <w:tcPr>
            <w:tcW w:w="2430" w:type="dxa"/>
            <w:noWrap w:val="0"/>
            <w:vAlign w:val="top"/>
          </w:tcPr>
          <w:p>
            <w:pPr>
              <w:autoSpaceDE w:val="0"/>
              <w:autoSpaceDN w:val="0"/>
              <w:adjustRightInd w:val="0"/>
              <w:snapToGrid w:val="0"/>
              <w:jc w:val="left"/>
              <w:rPr>
                <w:rFonts w:ascii="宋体" w:hAnsi="宋体"/>
                <w:kern w:val="0"/>
                <w:szCs w:val="21"/>
              </w:rPr>
            </w:pPr>
          </w:p>
        </w:tc>
        <w:tc>
          <w:tcPr>
            <w:tcW w:w="1170" w:type="dxa"/>
            <w:noWrap w:val="0"/>
            <w:vAlign w:val="top"/>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1161" w:type="dxa"/>
            <w:noWrap w:val="0"/>
            <w:vAlign w:val="center"/>
          </w:tcPr>
          <w:p>
            <w:pPr>
              <w:autoSpaceDE w:val="0"/>
              <w:autoSpaceDN w:val="0"/>
              <w:adjustRightInd w:val="0"/>
              <w:snapToGrid w:val="0"/>
              <w:jc w:val="center"/>
              <w:rPr>
                <w:rFonts w:hint="eastAsia" w:ascii="宋体" w:hAnsi="宋体"/>
                <w:kern w:val="0"/>
                <w:szCs w:val="21"/>
              </w:rPr>
            </w:pPr>
            <w:r>
              <w:rPr>
                <w:rFonts w:hint="eastAsia" w:ascii="宋体" w:hAnsi="宋体"/>
                <w:kern w:val="0"/>
                <w:szCs w:val="21"/>
              </w:rPr>
              <w:t>项目技术</w:t>
            </w:r>
          </w:p>
          <w:p>
            <w:pPr>
              <w:autoSpaceDE w:val="0"/>
              <w:autoSpaceDN w:val="0"/>
              <w:adjustRightInd w:val="0"/>
              <w:snapToGrid w:val="0"/>
              <w:jc w:val="center"/>
              <w:rPr>
                <w:rFonts w:ascii="宋体" w:hAnsi="宋体"/>
                <w:kern w:val="0"/>
                <w:szCs w:val="21"/>
              </w:rPr>
            </w:pPr>
            <w:r>
              <w:rPr>
                <w:rFonts w:hint="eastAsia" w:ascii="宋体" w:hAnsi="宋体"/>
                <w:kern w:val="0"/>
                <w:szCs w:val="21"/>
              </w:rPr>
              <w:t>负责人</w:t>
            </w:r>
          </w:p>
        </w:tc>
        <w:tc>
          <w:tcPr>
            <w:tcW w:w="705" w:type="dxa"/>
            <w:noWrap w:val="0"/>
            <w:vAlign w:val="top"/>
          </w:tcPr>
          <w:p>
            <w:pPr>
              <w:autoSpaceDE w:val="0"/>
              <w:autoSpaceDN w:val="0"/>
              <w:adjustRightInd w:val="0"/>
              <w:snapToGrid w:val="0"/>
              <w:jc w:val="left"/>
              <w:rPr>
                <w:rFonts w:ascii="宋体" w:hAnsi="宋体"/>
                <w:kern w:val="0"/>
                <w:szCs w:val="21"/>
              </w:rPr>
            </w:pPr>
          </w:p>
        </w:tc>
        <w:tc>
          <w:tcPr>
            <w:tcW w:w="795" w:type="dxa"/>
            <w:noWrap w:val="0"/>
            <w:vAlign w:val="top"/>
          </w:tcPr>
          <w:p>
            <w:pPr>
              <w:autoSpaceDE w:val="0"/>
              <w:autoSpaceDN w:val="0"/>
              <w:adjustRightInd w:val="0"/>
              <w:snapToGrid w:val="0"/>
              <w:jc w:val="left"/>
              <w:rPr>
                <w:rFonts w:ascii="宋体" w:hAnsi="宋体"/>
                <w:kern w:val="0"/>
                <w:szCs w:val="21"/>
              </w:rPr>
            </w:pPr>
          </w:p>
        </w:tc>
        <w:tc>
          <w:tcPr>
            <w:tcW w:w="1200"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825" w:type="dxa"/>
            <w:noWrap w:val="0"/>
            <w:vAlign w:val="top"/>
          </w:tcPr>
          <w:p>
            <w:pPr>
              <w:autoSpaceDE w:val="0"/>
              <w:autoSpaceDN w:val="0"/>
              <w:adjustRightInd w:val="0"/>
              <w:snapToGrid w:val="0"/>
              <w:jc w:val="left"/>
              <w:rPr>
                <w:rFonts w:ascii="宋体" w:hAnsi="宋体"/>
                <w:kern w:val="0"/>
                <w:szCs w:val="21"/>
              </w:rPr>
            </w:pPr>
          </w:p>
        </w:tc>
        <w:tc>
          <w:tcPr>
            <w:tcW w:w="2430" w:type="dxa"/>
            <w:noWrap w:val="0"/>
            <w:vAlign w:val="top"/>
          </w:tcPr>
          <w:p>
            <w:pPr>
              <w:autoSpaceDE w:val="0"/>
              <w:autoSpaceDN w:val="0"/>
              <w:adjustRightInd w:val="0"/>
              <w:snapToGrid w:val="0"/>
              <w:jc w:val="left"/>
              <w:rPr>
                <w:rFonts w:ascii="宋体" w:hAnsi="宋体"/>
                <w:kern w:val="0"/>
                <w:szCs w:val="21"/>
              </w:rPr>
            </w:pPr>
          </w:p>
        </w:tc>
        <w:tc>
          <w:tcPr>
            <w:tcW w:w="1170" w:type="dxa"/>
            <w:noWrap w:val="0"/>
            <w:vAlign w:val="top"/>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noWrap w:val="0"/>
            <w:vAlign w:val="top"/>
          </w:tcPr>
          <w:p>
            <w:pPr>
              <w:autoSpaceDE w:val="0"/>
              <w:autoSpaceDN w:val="0"/>
              <w:adjustRightInd w:val="0"/>
              <w:snapToGrid w:val="0"/>
              <w:jc w:val="left"/>
              <w:rPr>
                <w:rFonts w:ascii="宋体" w:hAnsi="宋体"/>
                <w:kern w:val="0"/>
                <w:szCs w:val="21"/>
              </w:rPr>
            </w:pPr>
          </w:p>
        </w:tc>
        <w:tc>
          <w:tcPr>
            <w:tcW w:w="705" w:type="dxa"/>
            <w:noWrap w:val="0"/>
            <w:vAlign w:val="top"/>
          </w:tcPr>
          <w:p>
            <w:pPr>
              <w:autoSpaceDE w:val="0"/>
              <w:autoSpaceDN w:val="0"/>
              <w:adjustRightInd w:val="0"/>
              <w:snapToGrid w:val="0"/>
              <w:jc w:val="left"/>
              <w:rPr>
                <w:rFonts w:ascii="宋体" w:hAnsi="宋体"/>
                <w:kern w:val="0"/>
                <w:szCs w:val="21"/>
              </w:rPr>
            </w:pPr>
          </w:p>
        </w:tc>
        <w:tc>
          <w:tcPr>
            <w:tcW w:w="795" w:type="dxa"/>
            <w:noWrap w:val="0"/>
            <w:vAlign w:val="top"/>
          </w:tcPr>
          <w:p>
            <w:pPr>
              <w:autoSpaceDE w:val="0"/>
              <w:autoSpaceDN w:val="0"/>
              <w:adjustRightInd w:val="0"/>
              <w:snapToGrid w:val="0"/>
              <w:jc w:val="left"/>
              <w:rPr>
                <w:rFonts w:ascii="宋体" w:hAnsi="宋体"/>
                <w:kern w:val="0"/>
                <w:szCs w:val="21"/>
              </w:rPr>
            </w:pPr>
          </w:p>
        </w:tc>
        <w:tc>
          <w:tcPr>
            <w:tcW w:w="1200"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825" w:type="dxa"/>
            <w:noWrap w:val="0"/>
            <w:vAlign w:val="top"/>
          </w:tcPr>
          <w:p>
            <w:pPr>
              <w:autoSpaceDE w:val="0"/>
              <w:autoSpaceDN w:val="0"/>
              <w:adjustRightInd w:val="0"/>
              <w:snapToGrid w:val="0"/>
              <w:jc w:val="left"/>
              <w:rPr>
                <w:rFonts w:ascii="宋体" w:hAnsi="宋体"/>
                <w:kern w:val="0"/>
                <w:szCs w:val="21"/>
              </w:rPr>
            </w:pPr>
          </w:p>
        </w:tc>
        <w:tc>
          <w:tcPr>
            <w:tcW w:w="2430" w:type="dxa"/>
            <w:noWrap w:val="0"/>
            <w:vAlign w:val="top"/>
          </w:tcPr>
          <w:p>
            <w:pPr>
              <w:autoSpaceDE w:val="0"/>
              <w:autoSpaceDN w:val="0"/>
              <w:adjustRightInd w:val="0"/>
              <w:snapToGrid w:val="0"/>
              <w:jc w:val="left"/>
              <w:rPr>
                <w:rFonts w:ascii="宋体" w:hAnsi="宋体"/>
                <w:kern w:val="0"/>
                <w:szCs w:val="21"/>
              </w:rPr>
            </w:pPr>
          </w:p>
        </w:tc>
        <w:tc>
          <w:tcPr>
            <w:tcW w:w="1170" w:type="dxa"/>
            <w:noWrap w:val="0"/>
            <w:vAlign w:val="top"/>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noWrap w:val="0"/>
            <w:vAlign w:val="top"/>
          </w:tcPr>
          <w:p>
            <w:pPr>
              <w:autoSpaceDE w:val="0"/>
              <w:autoSpaceDN w:val="0"/>
              <w:adjustRightInd w:val="0"/>
              <w:snapToGrid w:val="0"/>
              <w:jc w:val="left"/>
              <w:rPr>
                <w:rFonts w:ascii="宋体" w:hAnsi="宋体"/>
                <w:kern w:val="0"/>
                <w:szCs w:val="21"/>
              </w:rPr>
            </w:pPr>
          </w:p>
        </w:tc>
        <w:tc>
          <w:tcPr>
            <w:tcW w:w="705" w:type="dxa"/>
            <w:noWrap w:val="0"/>
            <w:vAlign w:val="top"/>
          </w:tcPr>
          <w:p>
            <w:pPr>
              <w:autoSpaceDE w:val="0"/>
              <w:autoSpaceDN w:val="0"/>
              <w:adjustRightInd w:val="0"/>
              <w:snapToGrid w:val="0"/>
              <w:jc w:val="left"/>
              <w:rPr>
                <w:rFonts w:ascii="宋体" w:hAnsi="宋体"/>
                <w:kern w:val="0"/>
                <w:szCs w:val="21"/>
              </w:rPr>
            </w:pPr>
          </w:p>
        </w:tc>
        <w:tc>
          <w:tcPr>
            <w:tcW w:w="795" w:type="dxa"/>
            <w:noWrap w:val="0"/>
            <w:vAlign w:val="top"/>
          </w:tcPr>
          <w:p>
            <w:pPr>
              <w:autoSpaceDE w:val="0"/>
              <w:autoSpaceDN w:val="0"/>
              <w:adjustRightInd w:val="0"/>
              <w:snapToGrid w:val="0"/>
              <w:jc w:val="left"/>
              <w:rPr>
                <w:rFonts w:ascii="宋体" w:hAnsi="宋体"/>
                <w:kern w:val="0"/>
                <w:szCs w:val="21"/>
              </w:rPr>
            </w:pPr>
          </w:p>
        </w:tc>
        <w:tc>
          <w:tcPr>
            <w:tcW w:w="1200"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825" w:type="dxa"/>
            <w:noWrap w:val="0"/>
            <w:vAlign w:val="top"/>
          </w:tcPr>
          <w:p>
            <w:pPr>
              <w:autoSpaceDE w:val="0"/>
              <w:autoSpaceDN w:val="0"/>
              <w:adjustRightInd w:val="0"/>
              <w:snapToGrid w:val="0"/>
              <w:jc w:val="left"/>
              <w:rPr>
                <w:rFonts w:ascii="宋体" w:hAnsi="宋体"/>
                <w:kern w:val="0"/>
                <w:szCs w:val="21"/>
              </w:rPr>
            </w:pPr>
          </w:p>
        </w:tc>
        <w:tc>
          <w:tcPr>
            <w:tcW w:w="2430" w:type="dxa"/>
            <w:noWrap w:val="0"/>
            <w:vAlign w:val="top"/>
          </w:tcPr>
          <w:p>
            <w:pPr>
              <w:autoSpaceDE w:val="0"/>
              <w:autoSpaceDN w:val="0"/>
              <w:adjustRightInd w:val="0"/>
              <w:snapToGrid w:val="0"/>
              <w:jc w:val="left"/>
              <w:rPr>
                <w:rFonts w:ascii="宋体" w:hAnsi="宋体"/>
                <w:kern w:val="0"/>
                <w:szCs w:val="21"/>
              </w:rPr>
            </w:pPr>
          </w:p>
        </w:tc>
        <w:tc>
          <w:tcPr>
            <w:tcW w:w="1170" w:type="dxa"/>
            <w:noWrap w:val="0"/>
            <w:vAlign w:val="top"/>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noWrap w:val="0"/>
            <w:vAlign w:val="top"/>
          </w:tcPr>
          <w:p>
            <w:pPr>
              <w:autoSpaceDE w:val="0"/>
              <w:autoSpaceDN w:val="0"/>
              <w:adjustRightInd w:val="0"/>
              <w:snapToGrid w:val="0"/>
              <w:jc w:val="left"/>
              <w:rPr>
                <w:rFonts w:ascii="宋体" w:hAnsi="宋体"/>
                <w:kern w:val="0"/>
                <w:szCs w:val="21"/>
              </w:rPr>
            </w:pPr>
          </w:p>
        </w:tc>
        <w:tc>
          <w:tcPr>
            <w:tcW w:w="705" w:type="dxa"/>
            <w:noWrap w:val="0"/>
            <w:vAlign w:val="top"/>
          </w:tcPr>
          <w:p>
            <w:pPr>
              <w:autoSpaceDE w:val="0"/>
              <w:autoSpaceDN w:val="0"/>
              <w:adjustRightInd w:val="0"/>
              <w:snapToGrid w:val="0"/>
              <w:jc w:val="left"/>
              <w:rPr>
                <w:rFonts w:ascii="宋体" w:hAnsi="宋体"/>
                <w:kern w:val="0"/>
                <w:szCs w:val="21"/>
              </w:rPr>
            </w:pPr>
          </w:p>
        </w:tc>
        <w:tc>
          <w:tcPr>
            <w:tcW w:w="795" w:type="dxa"/>
            <w:noWrap w:val="0"/>
            <w:vAlign w:val="top"/>
          </w:tcPr>
          <w:p>
            <w:pPr>
              <w:autoSpaceDE w:val="0"/>
              <w:autoSpaceDN w:val="0"/>
              <w:adjustRightInd w:val="0"/>
              <w:snapToGrid w:val="0"/>
              <w:jc w:val="left"/>
              <w:rPr>
                <w:rFonts w:ascii="宋体" w:hAnsi="宋体"/>
                <w:kern w:val="0"/>
                <w:szCs w:val="21"/>
              </w:rPr>
            </w:pPr>
          </w:p>
        </w:tc>
        <w:tc>
          <w:tcPr>
            <w:tcW w:w="1200"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825" w:type="dxa"/>
            <w:noWrap w:val="0"/>
            <w:vAlign w:val="top"/>
          </w:tcPr>
          <w:p>
            <w:pPr>
              <w:autoSpaceDE w:val="0"/>
              <w:autoSpaceDN w:val="0"/>
              <w:adjustRightInd w:val="0"/>
              <w:snapToGrid w:val="0"/>
              <w:jc w:val="left"/>
              <w:rPr>
                <w:rFonts w:ascii="宋体" w:hAnsi="宋体"/>
                <w:kern w:val="0"/>
                <w:szCs w:val="21"/>
              </w:rPr>
            </w:pPr>
          </w:p>
        </w:tc>
        <w:tc>
          <w:tcPr>
            <w:tcW w:w="2430" w:type="dxa"/>
            <w:noWrap w:val="0"/>
            <w:vAlign w:val="top"/>
          </w:tcPr>
          <w:p>
            <w:pPr>
              <w:autoSpaceDE w:val="0"/>
              <w:autoSpaceDN w:val="0"/>
              <w:adjustRightInd w:val="0"/>
              <w:snapToGrid w:val="0"/>
              <w:jc w:val="left"/>
              <w:rPr>
                <w:rFonts w:ascii="宋体" w:hAnsi="宋体"/>
                <w:kern w:val="0"/>
                <w:szCs w:val="21"/>
              </w:rPr>
            </w:pPr>
          </w:p>
        </w:tc>
        <w:tc>
          <w:tcPr>
            <w:tcW w:w="1170" w:type="dxa"/>
            <w:noWrap w:val="0"/>
            <w:vAlign w:val="top"/>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noWrap w:val="0"/>
            <w:vAlign w:val="top"/>
          </w:tcPr>
          <w:p>
            <w:pPr>
              <w:autoSpaceDE w:val="0"/>
              <w:autoSpaceDN w:val="0"/>
              <w:adjustRightInd w:val="0"/>
              <w:snapToGrid w:val="0"/>
              <w:jc w:val="left"/>
              <w:rPr>
                <w:rFonts w:ascii="宋体" w:hAnsi="宋体"/>
                <w:kern w:val="0"/>
                <w:szCs w:val="21"/>
              </w:rPr>
            </w:pPr>
          </w:p>
        </w:tc>
        <w:tc>
          <w:tcPr>
            <w:tcW w:w="705" w:type="dxa"/>
            <w:noWrap w:val="0"/>
            <w:vAlign w:val="top"/>
          </w:tcPr>
          <w:p>
            <w:pPr>
              <w:autoSpaceDE w:val="0"/>
              <w:autoSpaceDN w:val="0"/>
              <w:adjustRightInd w:val="0"/>
              <w:snapToGrid w:val="0"/>
              <w:jc w:val="left"/>
              <w:rPr>
                <w:rFonts w:ascii="宋体" w:hAnsi="宋体"/>
                <w:kern w:val="0"/>
                <w:szCs w:val="21"/>
              </w:rPr>
            </w:pPr>
          </w:p>
        </w:tc>
        <w:tc>
          <w:tcPr>
            <w:tcW w:w="795" w:type="dxa"/>
            <w:noWrap w:val="0"/>
            <w:vAlign w:val="top"/>
          </w:tcPr>
          <w:p>
            <w:pPr>
              <w:autoSpaceDE w:val="0"/>
              <w:autoSpaceDN w:val="0"/>
              <w:adjustRightInd w:val="0"/>
              <w:snapToGrid w:val="0"/>
              <w:jc w:val="left"/>
              <w:rPr>
                <w:rFonts w:ascii="宋体" w:hAnsi="宋体"/>
                <w:kern w:val="0"/>
                <w:szCs w:val="21"/>
              </w:rPr>
            </w:pPr>
          </w:p>
        </w:tc>
        <w:tc>
          <w:tcPr>
            <w:tcW w:w="1200"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825" w:type="dxa"/>
            <w:noWrap w:val="0"/>
            <w:vAlign w:val="top"/>
          </w:tcPr>
          <w:p>
            <w:pPr>
              <w:autoSpaceDE w:val="0"/>
              <w:autoSpaceDN w:val="0"/>
              <w:adjustRightInd w:val="0"/>
              <w:snapToGrid w:val="0"/>
              <w:jc w:val="left"/>
              <w:rPr>
                <w:rFonts w:ascii="宋体" w:hAnsi="宋体"/>
                <w:kern w:val="0"/>
                <w:szCs w:val="21"/>
              </w:rPr>
            </w:pPr>
          </w:p>
        </w:tc>
        <w:tc>
          <w:tcPr>
            <w:tcW w:w="2430" w:type="dxa"/>
            <w:noWrap w:val="0"/>
            <w:vAlign w:val="top"/>
          </w:tcPr>
          <w:p>
            <w:pPr>
              <w:autoSpaceDE w:val="0"/>
              <w:autoSpaceDN w:val="0"/>
              <w:adjustRightInd w:val="0"/>
              <w:snapToGrid w:val="0"/>
              <w:jc w:val="left"/>
              <w:rPr>
                <w:rFonts w:ascii="宋体" w:hAnsi="宋体"/>
                <w:kern w:val="0"/>
                <w:szCs w:val="21"/>
              </w:rPr>
            </w:pPr>
          </w:p>
        </w:tc>
        <w:tc>
          <w:tcPr>
            <w:tcW w:w="1170" w:type="dxa"/>
            <w:noWrap w:val="0"/>
            <w:vAlign w:val="top"/>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noWrap w:val="0"/>
            <w:vAlign w:val="top"/>
          </w:tcPr>
          <w:p>
            <w:pPr>
              <w:autoSpaceDE w:val="0"/>
              <w:autoSpaceDN w:val="0"/>
              <w:adjustRightInd w:val="0"/>
              <w:snapToGrid w:val="0"/>
              <w:jc w:val="left"/>
              <w:rPr>
                <w:rFonts w:ascii="宋体" w:hAnsi="宋体"/>
                <w:kern w:val="0"/>
                <w:szCs w:val="21"/>
              </w:rPr>
            </w:pPr>
          </w:p>
        </w:tc>
        <w:tc>
          <w:tcPr>
            <w:tcW w:w="705" w:type="dxa"/>
            <w:noWrap w:val="0"/>
            <w:vAlign w:val="top"/>
          </w:tcPr>
          <w:p>
            <w:pPr>
              <w:autoSpaceDE w:val="0"/>
              <w:autoSpaceDN w:val="0"/>
              <w:adjustRightInd w:val="0"/>
              <w:snapToGrid w:val="0"/>
              <w:jc w:val="left"/>
              <w:rPr>
                <w:rFonts w:ascii="宋体" w:hAnsi="宋体"/>
                <w:kern w:val="0"/>
                <w:szCs w:val="21"/>
              </w:rPr>
            </w:pPr>
          </w:p>
        </w:tc>
        <w:tc>
          <w:tcPr>
            <w:tcW w:w="795" w:type="dxa"/>
            <w:noWrap w:val="0"/>
            <w:vAlign w:val="top"/>
          </w:tcPr>
          <w:p>
            <w:pPr>
              <w:autoSpaceDE w:val="0"/>
              <w:autoSpaceDN w:val="0"/>
              <w:adjustRightInd w:val="0"/>
              <w:snapToGrid w:val="0"/>
              <w:jc w:val="left"/>
              <w:rPr>
                <w:rFonts w:ascii="宋体" w:hAnsi="宋体"/>
                <w:kern w:val="0"/>
                <w:szCs w:val="21"/>
              </w:rPr>
            </w:pPr>
          </w:p>
        </w:tc>
        <w:tc>
          <w:tcPr>
            <w:tcW w:w="1200"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825" w:type="dxa"/>
            <w:noWrap w:val="0"/>
            <w:vAlign w:val="top"/>
          </w:tcPr>
          <w:p>
            <w:pPr>
              <w:autoSpaceDE w:val="0"/>
              <w:autoSpaceDN w:val="0"/>
              <w:adjustRightInd w:val="0"/>
              <w:snapToGrid w:val="0"/>
              <w:jc w:val="left"/>
              <w:rPr>
                <w:rFonts w:ascii="宋体" w:hAnsi="宋体"/>
                <w:kern w:val="0"/>
                <w:szCs w:val="21"/>
              </w:rPr>
            </w:pPr>
          </w:p>
        </w:tc>
        <w:tc>
          <w:tcPr>
            <w:tcW w:w="2430" w:type="dxa"/>
            <w:noWrap w:val="0"/>
            <w:vAlign w:val="top"/>
          </w:tcPr>
          <w:p>
            <w:pPr>
              <w:autoSpaceDE w:val="0"/>
              <w:autoSpaceDN w:val="0"/>
              <w:adjustRightInd w:val="0"/>
              <w:snapToGrid w:val="0"/>
              <w:jc w:val="left"/>
              <w:rPr>
                <w:rFonts w:ascii="宋体" w:hAnsi="宋体"/>
                <w:kern w:val="0"/>
                <w:szCs w:val="21"/>
              </w:rPr>
            </w:pPr>
          </w:p>
        </w:tc>
        <w:tc>
          <w:tcPr>
            <w:tcW w:w="1170" w:type="dxa"/>
            <w:noWrap w:val="0"/>
            <w:vAlign w:val="top"/>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noWrap w:val="0"/>
            <w:vAlign w:val="top"/>
          </w:tcPr>
          <w:p>
            <w:pPr>
              <w:autoSpaceDE w:val="0"/>
              <w:autoSpaceDN w:val="0"/>
              <w:adjustRightInd w:val="0"/>
              <w:snapToGrid w:val="0"/>
              <w:jc w:val="left"/>
              <w:rPr>
                <w:rFonts w:ascii="宋体" w:hAnsi="宋体"/>
                <w:kern w:val="0"/>
                <w:szCs w:val="21"/>
              </w:rPr>
            </w:pPr>
          </w:p>
        </w:tc>
        <w:tc>
          <w:tcPr>
            <w:tcW w:w="705" w:type="dxa"/>
            <w:noWrap w:val="0"/>
            <w:vAlign w:val="top"/>
          </w:tcPr>
          <w:p>
            <w:pPr>
              <w:autoSpaceDE w:val="0"/>
              <w:autoSpaceDN w:val="0"/>
              <w:adjustRightInd w:val="0"/>
              <w:snapToGrid w:val="0"/>
              <w:jc w:val="left"/>
              <w:rPr>
                <w:rFonts w:ascii="宋体" w:hAnsi="宋体"/>
                <w:kern w:val="0"/>
                <w:szCs w:val="21"/>
              </w:rPr>
            </w:pPr>
          </w:p>
        </w:tc>
        <w:tc>
          <w:tcPr>
            <w:tcW w:w="795" w:type="dxa"/>
            <w:noWrap w:val="0"/>
            <w:vAlign w:val="top"/>
          </w:tcPr>
          <w:p>
            <w:pPr>
              <w:autoSpaceDE w:val="0"/>
              <w:autoSpaceDN w:val="0"/>
              <w:adjustRightInd w:val="0"/>
              <w:snapToGrid w:val="0"/>
              <w:jc w:val="left"/>
              <w:rPr>
                <w:rFonts w:ascii="宋体" w:hAnsi="宋体"/>
                <w:kern w:val="0"/>
                <w:szCs w:val="21"/>
              </w:rPr>
            </w:pPr>
          </w:p>
        </w:tc>
        <w:tc>
          <w:tcPr>
            <w:tcW w:w="1200"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825" w:type="dxa"/>
            <w:noWrap w:val="0"/>
            <w:vAlign w:val="top"/>
          </w:tcPr>
          <w:p>
            <w:pPr>
              <w:autoSpaceDE w:val="0"/>
              <w:autoSpaceDN w:val="0"/>
              <w:adjustRightInd w:val="0"/>
              <w:snapToGrid w:val="0"/>
              <w:jc w:val="left"/>
              <w:rPr>
                <w:rFonts w:ascii="宋体" w:hAnsi="宋体"/>
                <w:kern w:val="0"/>
                <w:szCs w:val="21"/>
              </w:rPr>
            </w:pPr>
          </w:p>
        </w:tc>
        <w:tc>
          <w:tcPr>
            <w:tcW w:w="2430" w:type="dxa"/>
            <w:noWrap w:val="0"/>
            <w:vAlign w:val="top"/>
          </w:tcPr>
          <w:p>
            <w:pPr>
              <w:autoSpaceDE w:val="0"/>
              <w:autoSpaceDN w:val="0"/>
              <w:adjustRightInd w:val="0"/>
              <w:snapToGrid w:val="0"/>
              <w:jc w:val="left"/>
              <w:rPr>
                <w:rFonts w:ascii="宋体" w:hAnsi="宋体"/>
                <w:kern w:val="0"/>
                <w:szCs w:val="21"/>
              </w:rPr>
            </w:pPr>
          </w:p>
        </w:tc>
        <w:tc>
          <w:tcPr>
            <w:tcW w:w="1170" w:type="dxa"/>
            <w:noWrap w:val="0"/>
            <w:vAlign w:val="top"/>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noWrap w:val="0"/>
            <w:vAlign w:val="top"/>
          </w:tcPr>
          <w:p>
            <w:pPr>
              <w:autoSpaceDE w:val="0"/>
              <w:autoSpaceDN w:val="0"/>
              <w:adjustRightInd w:val="0"/>
              <w:snapToGrid w:val="0"/>
              <w:jc w:val="left"/>
              <w:rPr>
                <w:rFonts w:ascii="宋体" w:hAnsi="宋体"/>
                <w:kern w:val="0"/>
                <w:szCs w:val="21"/>
              </w:rPr>
            </w:pPr>
          </w:p>
        </w:tc>
        <w:tc>
          <w:tcPr>
            <w:tcW w:w="705" w:type="dxa"/>
            <w:noWrap w:val="0"/>
            <w:vAlign w:val="top"/>
          </w:tcPr>
          <w:p>
            <w:pPr>
              <w:autoSpaceDE w:val="0"/>
              <w:autoSpaceDN w:val="0"/>
              <w:adjustRightInd w:val="0"/>
              <w:snapToGrid w:val="0"/>
              <w:jc w:val="left"/>
              <w:rPr>
                <w:rFonts w:ascii="宋体" w:hAnsi="宋体"/>
                <w:kern w:val="0"/>
                <w:szCs w:val="21"/>
              </w:rPr>
            </w:pPr>
          </w:p>
        </w:tc>
        <w:tc>
          <w:tcPr>
            <w:tcW w:w="795" w:type="dxa"/>
            <w:noWrap w:val="0"/>
            <w:vAlign w:val="top"/>
          </w:tcPr>
          <w:p>
            <w:pPr>
              <w:autoSpaceDE w:val="0"/>
              <w:autoSpaceDN w:val="0"/>
              <w:adjustRightInd w:val="0"/>
              <w:snapToGrid w:val="0"/>
              <w:jc w:val="left"/>
              <w:rPr>
                <w:rFonts w:ascii="宋体" w:hAnsi="宋体"/>
                <w:kern w:val="0"/>
                <w:szCs w:val="21"/>
              </w:rPr>
            </w:pPr>
          </w:p>
        </w:tc>
        <w:tc>
          <w:tcPr>
            <w:tcW w:w="1200"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825" w:type="dxa"/>
            <w:noWrap w:val="0"/>
            <w:vAlign w:val="top"/>
          </w:tcPr>
          <w:p>
            <w:pPr>
              <w:autoSpaceDE w:val="0"/>
              <w:autoSpaceDN w:val="0"/>
              <w:adjustRightInd w:val="0"/>
              <w:snapToGrid w:val="0"/>
              <w:jc w:val="left"/>
              <w:rPr>
                <w:rFonts w:ascii="宋体" w:hAnsi="宋体"/>
                <w:kern w:val="0"/>
                <w:szCs w:val="21"/>
              </w:rPr>
            </w:pPr>
          </w:p>
        </w:tc>
        <w:tc>
          <w:tcPr>
            <w:tcW w:w="2430" w:type="dxa"/>
            <w:noWrap w:val="0"/>
            <w:vAlign w:val="top"/>
          </w:tcPr>
          <w:p>
            <w:pPr>
              <w:autoSpaceDE w:val="0"/>
              <w:autoSpaceDN w:val="0"/>
              <w:adjustRightInd w:val="0"/>
              <w:snapToGrid w:val="0"/>
              <w:jc w:val="left"/>
              <w:rPr>
                <w:rFonts w:ascii="宋体" w:hAnsi="宋体"/>
                <w:kern w:val="0"/>
                <w:szCs w:val="21"/>
              </w:rPr>
            </w:pPr>
          </w:p>
        </w:tc>
        <w:tc>
          <w:tcPr>
            <w:tcW w:w="1170" w:type="dxa"/>
            <w:noWrap w:val="0"/>
            <w:vAlign w:val="top"/>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noWrap w:val="0"/>
            <w:vAlign w:val="top"/>
          </w:tcPr>
          <w:p>
            <w:pPr>
              <w:autoSpaceDE w:val="0"/>
              <w:autoSpaceDN w:val="0"/>
              <w:adjustRightInd w:val="0"/>
              <w:snapToGrid w:val="0"/>
              <w:jc w:val="left"/>
              <w:rPr>
                <w:rFonts w:ascii="宋体" w:hAnsi="宋体"/>
                <w:kern w:val="0"/>
                <w:szCs w:val="21"/>
              </w:rPr>
            </w:pPr>
          </w:p>
        </w:tc>
        <w:tc>
          <w:tcPr>
            <w:tcW w:w="705" w:type="dxa"/>
            <w:noWrap w:val="0"/>
            <w:vAlign w:val="top"/>
          </w:tcPr>
          <w:p>
            <w:pPr>
              <w:autoSpaceDE w:val="0"/>
              <w:autoSpaceDN w:val="0"/>
              <w:adjustRightInd w:val="0"/>
              <w:snapToGrid w:val="0"/>
              <w:jc w:val="left"/>
              <w:rPr>
                <w:rFonts w:ascii="宋体" w:hAnsi="宋体"/>
                <w:kern w:val="0"/>
                <w:szCs w:val="21"/>
              </w:rPr>
            </w:pPr>
          </w:p>
        </w:tc>
        <w:tc>
          <w:tcPr>
            <w:tcW w:w="795" w:type="dxa"/>
            <w:noWrap w:val="0"/>
            <w:vAlign w:val="top"/>
          </w:tcPr>
          <w:p>
            <w:pPr>
              <w:autoSpaceDE w:val="0"/>
              <w:autoSpaceDN w:val="0"/>
              <w:adjustRightInd w:val="0"/>
              <w:snapToGrid w:val="0"/>
              <w:jc w:val="left"/>
              <w:rPr>
                <w:rFonts w:ascii="宋体" w:hAnsi="宋体"/>
                <w:kern w:val="0"/>
                <w:szCs w:val="21"/>
              </w:rPr>
            </w:pPr>
          </w:p>
        </w:tc>
        <w:tc>
          <w:tcPr>
            <w:tcW w:w="1200"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825" w:type="dxa"/>
            <w:noWrap w:val="0"/>
            <w:vAlign w:val="top"/>
          </w:tcPr>
          <w:p>
            <w:pPr>
              <w:autoSpaceDE w:val="0"/>
              <w:autoSpaceDN w:val="0"/>
              <w:adjustRightInd w:val="0"/>
              <w:snapToGrid w:val="0"/>
              <w:jc w:val="left"/>
              <w:rPr>
                <w:rFonts w:ascii="宋体" w:hAnsi="宋体"/>
                <w:kern w:val="0"/>
                <w:szCs w:val="21"/>
              </w:rPr>
            </w:pPr>
          </w:p>
        </w:tc>
        <w:tc>
          <w:tcPr>
            <w:tcW w:w="2430" w:type="dxa"/>
            <w:noWrap w:val="0"/>
            <w:vAlign w:val="top"/>
          </w:tcPr>
          <w:p>
            <w:pPr>
              <w:autoSpaceDE w:val="0"/>
              <w:autoSpaceDN w:val="0"/>
              <w:adjustRightInd w:val="0"/>
              <w:snapToGrid w:val="0"/>
              <w:jc w:val="left"/>
              <w:rPr>
                <w:rFonts w:ascii="宋体" w:hAnsi="宋体"/>
                <w:kern w:val="0"/>
                <w:szCs w:val="21"/>
              </w:rPr>
            </w:pPr>
          </w:p>
        </w:tc>
        <w:tc>
          <w:tcPr>
            <w:tcW w:w="1170" w:type="dxa"/>
            <w:noWrap w:val="0"/>
            <w:vAlign w:val="top"/>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noWrap w:val="0"/>
            <w:vAlign w:val="top"/>
          </w:tcPr>
          <w:p>
            <w:pPr>
              <w:autoSpaceDE w:val="0"/>
              <w:autoSpaceDN w:val="0"/>
              <w:adjustRightInd w:val="0"/>
              <w:snapToGrid w:val="0"/>
              <w:jc w:val="left"/>
              <w:rPr>
                <w:rFonts w:ascii="宋体" w:hAnsi="宋体"/>
                <w:kern w:val="0"/>
                <w:szCs w:val="21"/>
              </w:rPr>
            </w:pPr>
          </w:p>
        </w:tc>
        <w:tc>
          <w:tcPr>
            <w:tcW w:w="705" w:type="dxa"/>
            <w:noWrap w:val="0"/>
            <w:vAlign w:val="top"/>
          </w:tcPr>
          <w:p>
            <w:pPr>
              <w:autoSpaceDE w:val="0"/>
              <w:autoSpaceDN w:val="0"/>
              <w:adjustRightInd w:val="0"/>
              <w:snapToGrid w:val="0"/>
              <w:jc w:val="left"/>
              <w:rPr>
                <w:rFonts w:ascii="宋体" w:hAnsi="宋体"/>
                <w:kern w:val="0"/>
                <w:szCs w:val="21"/>
              </w:rPr>
            </w:pPr>
          </w:p>
        </w:tc>
        <w:tc>
          <w:tcPr>
            <w:tcW w:w="795" w:type="dxa"/>
            <w:noWrap w:val="0"/>
            <w:vAlign w:val="top"/>
          </w:tcPr>
          <w:p>
            <w:pPr>
              <w:autoSpaceDE w:val="0"/>
              <w:autoSpaceDN w:val="0"/>
              <w:adjustRightInd w:val="0"/>
              <w:snapToGrid w:val="0"/>
              <w:jc w:val="left"/>
              <w:rPr>
                <w:rFonts w:ascii="宋体" w:hAnsi="宋体"/>
                <w:kern w:val="0"/>
                <w:szCs w:val="21"/>
              </w:rPr>
            </w:pPr>
          </w:p>
        </w:tc>
        <w:tc>
          <w:tcPr>
            <w:tcW w:w="1200"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825" w:type="dxa"/>
            <w:noWrap w:val="0"/>
            <w:vAlign w:val="top"/>
          </w:tcPr>
          <w:p>
            <w:pPr>
              <w:autoSpaceDE w:val="0"/>
              <w:autoSpaceDN w:val="0"/>
              <w:adjustRightInd w:val="0"/>
              <w:snapToGrid w:val="0"/>
              <w:jc w:val="left"/>
              <w:rPr>
                <w:rFonts w:ascii="宋体" w:hAnsi="宋体"/>
                <w:kern w:val="0"/>
                <w:szCs w:val="21"/>
              </w:rPr>
            </w:pPr>
          </w:p>
        </w:tc>
        <w:tc>
          <w:tcPr>
            <w:tcW w:w="2430" w:type="dxa"/>
            <w:noWrap w:val="0"/>
            <w:vAlign w:val="top"/>
          </w:tcPr>
          <w:p>
            <w:pPr>
              <w:autoSpaceDE w:val="0"/>
              <w:autoSpaceDN w:val="0"/>
              <w:adjustRightInd w:val="0"/>
              <w:snapToGrid w:val="0"/>
              <w:jc w:val="left"/>
              <w:rPr>
                <w:rFonts w:ascii="宋体" w:hAnsi="宋体"/>
                <w:kern w:val="0"/>
                <w:szCs w:val="21"/>
              </w:rPr>
            </w:pPr>
          </w:p>
        </w:tc>
        <w:tc>
          <w:tcPr>
            <w:tcW w:w="1170" w:type="dxa"/>
            <w:noWrap w:val="0"/>
            <w:vAlign w:val="top"/>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noWrap w:val="0"/>
            <w:vAlign w:val="top"/>
          </w:tcPr>
          <w:p>
            <w:pPr>
              <w:autoSpaceDE w:val="0"/>
              <w:autoSpaceDN w:val="0"/>
              <w:adjustRightInd w:val="0"/>
              <w:snapToGrid w:val="0"/>
              <w:jc w:val="left"/>
              <w:rPr>
                <w:rFonts w:ascii="宋体" w:hAnsi="宋体"/>
                <w:kern w:val="0"/>
                <w:szCs w:val="21"/>
              </w:rPr>
            </w:pPr>
          </w:p>
        </w:tc>
        <w:tc>
          <w:tcPr>
            <w:tcW w:w="705" w:type="dxa"/>
            <w:noWrap w:val="0"/>
            <w:vAlign w:val="top"/>
          </w:tcPr>
          <w:p>
            <w:pPr>
              <w:autoSpaceDE w:val="0"/>
              <w:autoSpaceDN w:val="0"/>
              <w:adjustRightInd w:val="0"/>
              <w:snapToGrid w:val="0"/>
              <w:jc w:val="left"/>
              <w:rPr>
                <w:rFonts w:ascii="宋体" w:hAnsi="宋体"/>
                <w:kern w:val="0"/>
                <w:szCs w:val="21"/>
              </w:rPr>
            </w:pPr>
          </w:p>
        </w:tc>
        <w:tc>
          <w:tcPr>
            <w:tcW w:w="795" w:type="dxa"/>
            <w:noWrap w:val="0"/>
            <w:vAlign w:val="top"/>
          </w:tcPr>
          <w:p>
            <w:pPr>
              <w:autoSpaceDE w:val="0"/>
              <w:autoSpaceDN w:val="0"/>
              <w:adjustRightInd w:val="0"/>
              <w:snapToGrid w:val="0"/>
              <w:jc w:val="left"/>
              <w:rPr>
                <w:rFonts w:ascii="宋体" w:hAnsi="宋体"/>
                <w:kern w:val="0"/>
                <w:szCs w:val="21"/>
              </w:rPr>
            </w:pPr>
          </w:p>
        </w:tc>
        <w:tc>
          <w:tcPr>
            <w:tcW w:w="1200"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825" w:type="dxa"/>
            <w:noWrap w:val="0"/>
            <w:vAlign w:val="top"/>
          </w:tcPr>
          <w:p>
            <w:pPr>
              <w:autoSpaceDE w:val="0"/>
              <w:autoSpaceDN w:val="0"/>
              <w:adjustRightInd w:val="0"/>
              <w:snapToGrid w:val="0"/>
              <w:jc w:val="left"/>
              <w:rPr>
                <w:rFonts w:ascii="宋体" w:hAnsi="宋体"/>
                <w:kern w:val="0"/>
                <w:szCs w:val="21"/>
              </w:rPr>
            </w:pPr>
          </w:p>
        </w:tc>
        <w:tc>
          <w:tcPr>
            <w:tcW w:w="2430" w:type="dxa"/>
            <w:noWrap w:val="0"/>
            <w:vAlign w:val="top"/>
          </w:tcPr>
          <w:p>
            <w:pPr>
              <w:autoSpaceDE w:val="0"/>
              <w:autoSpaceDN w:val="0"/>
              <w:adjustRightInd w:val="0"/>
              <w:snapToGrid w:val="0"/>
              <w:jc w:val="left"/>
              <w:rPr>
                <w:rFonts w:ascii="宋体" w:hAnsi="宋体"/>
                <w:kern w:val="0"/>
                <w:szCs w:val="21"/>
              </w:rPr>
            </w:pPr>
          </w:p>
        </w:tc>
        <w:tc>
          <w:tcPr>
            <w:tcW w:w="1170" w:type="dxa"/>
            <w:noWrap w:val="0"/>
            <w:vAlign w:val="top"/>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noWrap w:val="0"/>
            <w:vAlign w:val="top"/>
          </w:tcPr>
          <w:p>
            <w:pPr>
              <w:autoSpaceDE w:val="0"/>
              <w:autoSpaceDN w:val="0"/>
              <w:adjustRightInd w:val="0"/>
              <w:snapToGrid w:val="0"/>
              <w:jc w:val="left"/>
              <w:rPr>
                <w:rFonts w:ascii="宋体" w:hAnsi="宋体"/>
                <w:kern w:val="0"/>
                <w:szCs w:val="21"/>
              </w:rPr>
            </w:pPr>
          </w:p>
        </w:tc>
        <w:tc>
          <w:tcPr>
            <w:tcW w:w="705" w:type="dxa"/>
            <w:noWrap w:val="0"/>
            <w:vAlign w:val="top"/>
          </w:tcPr>
          <w:p>
            <w:pPr>
              <w:autoSpaceDE w:val="0"/>
              <w:autoSpaceDN w:val="0"/>
              <w:adjustRightInd w:val="0"/>
              <w:snapToGrid w:val="0"/>
              <w:jc w:val="left"/>
              <w:rPr>
                <w:rFonts w:ascii="宋体" w:hAnsi="宋体"/>
                <w:kern w:val="0"/>
                <w:szCs w:val="21"/>
              </w:rPr>
            </w:pPr>
          </w:p>
        </w:tc>
        <w:tc>
          <w:tcPr>
            <w:tcW w:w="795" w:type="dxa"/>
            <w:noWrap w:val="0"/>
            <w:vAlign w:val="top"/>
          </w:tcPr>
          <w:p>
            <w:pPr>
              <w:autoSpaceDE w:val="0"/>
              <w:autoSpaceDN w:val="0"/>
              <w:adjustRightInd w:val="0"/>
              <w:snapToGrid w:val="0"/>
              <w:jc w:val="left"/>
              <w:rPr>
                <w:rFonts w:ascii="宋体" w:hAnsi="宋体"/>
                <w:kern w:val="0"/>
                <w:szCs w:val="21"/>
              </w:rPr>
            </w:pPr>
          </w:p>
        </w:tc>
        <w:tc>
          <w:tcPr>
            <w:tcW w:w="1200"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825" w:type="dxa"/>
            <w:noWrap w:val="0"/>
            <w:vAlign w:val="top"/>
          </w:tcPr>
          <w:p>
            <w:pPr>
              <w:autoSpaceDE w:val="0"/>
              <w:autoSpaceDN w:val="0"/>
              <w:adjustRightInd w:val="0"/>
              <w:snapToGrid w:val="0"/>
              <w:jc w:val="left"/>
              <w:rPr>
                <w:rFonts w:ascii="宋体" w:hAnsi="宋体"/>
                <w:kern w:val="0"/>
                <w:szCs w:val="21"/>
              </w:rPr>
            </w:pPr>
          </w:p>
        </w:tc>
        <w:tc>
          <w:tcPr>
            <w:tcW w:w="2430" w:type="dxa"/>
            <w:noWrap w:val="0"/>
            <w:vAlign w:val="top"/>
          </w:tcPr>
          <w:p>
            <w:pPr>
              <w:autoSpaceDE w:val="0"/>
              <w:autoSpaceDN w:val="0"/>
              <w:adjustRightInd w:val="0"/>
              <w:snapToGrid w:val="0"/>
              <w:jc w:val="left"/>
              <w:rPr>
                <w:rFonts w:ascii="宋体" w:hAnsi="宋体"/>
                <w:kern w:val="0"/>
                <w:szCs w:val="21"/>
              </w:rPr>
            </w:pPr>
          </w:p>
        </w:tc>
        <w:tc>
          <w:tcPr>
            <w:tcW w:w="1170" w:type="dxa"/>
            <w:noWrap w:val="0"/>
            <w:vAlign w:val="top"/>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noWrap w:val="0"/>
            <w:vAlign w:val="top"/>
          </w:tcPr>
          <w:p>
            <w:pPr>
              <w:autoSpaceDE w:val="0"/>
              <w:autoSpaceDN w:val="0"/>
              <w:adjustRightInd w:val="0"/>
              <w:snapToGrid w:val="0"/>
              <w:jc w:val="left"/>
              <w:rPr>
                <w:rFonts w:ascii="宋体" w:hAnsi="宋体"/>
                <w:kern w:val="0"/>
                <w:szCs w:val="21"/>
              </w:rPr>
            </w:pPr>
          </w:p>
        </w:tc>
        <w:tc>
          <w:tcPr>
            <w:tcW w:w="705" w:type="dxa"/>
            <w:noWrap w:val="0"/>
            <w:vAlign w:val="top"/>
          </w:tcPr>
          <w:p>
            <w:pPr>
              <w:autoSpaceDE w:val="0"/>
              <w:autoSpaceDN w:val="0"/>
              <w:adjustRightInd w:val="0"/>
              <w:snapToGrid w:val="0"/>
              <w:jc w:val="left"/>
              <w:rPr>
                <w:rFonts w:ascii="宋体" w:hAnsi="宋体"/>
                <w:kern w:val="0"/>
                <w:szCs w:val="21"/>
              </w:rPr>
            </w:pPr>
          </w:p>
        </w:tc>
        <w:tc>
          <w:tcPr>
            <w:tcW w:w="795" w:type="dxa"/>
            <w:noWrap w:val="0"/>
            <w:vAlign w:val="top"/>
          </w:tcPr>
          <w:p>
            <w:pPr>
              <w:autoSpaceDE w:val="0"/>
              <w:autoSpaceDN w:val="0"/>
              <w:adjustRightInd w:val="0"/>
              <w:snapToGrid w:val="0"/>
              <w:jc w:val="left"/>
              <w:rPr>
                <w:rFonts w:ascii="宋体" w:hAnsi="宋体"/>
                <w:kern w:val="0"/>
                <w:szCs w:val="21"/>
              </w:rPr>
            </w:pPr>
          </w:p>
        </w:tc>
        <w:tc>
          <w:tcPr>
            <w:tcW w:w="1200"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825" w:type="dxa"/>
            <w:noWrap w:val="0"/>
            <w:vAlign w:val="top"/>
          </w:tcPr>
          <w:p>
            <w:pPr>
              <w:autoSpaceDE w:val="0"/>
              <w:autoSpaceDN w:val="0"/>
              <w:adjustRightInd w:val="0"/>
              <w:snapToGrid w:val="0"/>
              <w:jc w:val="left"/>
              <w:rPr>
                <w:rFonts w:ascii="宋体" w:hAnsi="宋体"/>
                <w:kern w:val="0"/>
                <w:szCs w:val="21"/>
              </w:rPr>
            </w:pPr>
          </w:p>
        </w:tc>
        <w:tc>
          <w:tcPr>
            <w:tcW w:w="2430" w:type="dxa"/>
            <w:noWrap w:val="0"/>
            <w:vAlign w:val="top"/>
          </w:tcPr>
          <w:p>
            <w:pPr>
              <w:autoSpaceDE w:val="0"/>
              <w:autoSpaceDN w:val="0"/>
              <w:adjustRightInd w:val="0"/>
              <w:snapToGrid w:val="0"/>
              <w:jc w:val="left"/>
              <w:rPr>
                <w:rFonts w:ascii="宋体" w:hAnsi="宋体"/>
                <w:kern w:val="0"/>
                <w:szCs w:val="21"/>
              </w:rPr>
            </w:pPr>
          </w:p>
        </w:tc>
        <w:tc>
          <w:tcPr>
            <w:tcW w:w="1170" w:type="dxa"/>
            <w:noWrap w:val="0"/>
            <w:vAlign w:val="top"/>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noWrap w:val="0"/>
            <w:vAlign w:val="top"/>
          </w:tcPr>
          <w:p>
            <w:pPr>
              <w:autoSpaceDE w:val="0"/>
              <w:autoSpaceDN w:val="0"/>
              <w:adjustRightInd w:val="0"/>
              <w:snapToGrid w:val="0"/>
              <w:jc w:val="left"/>
              <w:rPr>
                <w:rFonts w:ascii="宋体" w:hAnsi="宋体"/>
                <w:kern w:val="0"/>
                <w:szCs w:val="21"/>
              </w:rPr>
            </w:pPr>
          </w:p>
        </w:tc>
        <w:tc>
          <w:tcPr>
            <w:tcW w:w="705" w:type="dxa"/>
            <w:noWrap w:val="0"/>
            <w:vAlign w:val="top"/>
          </w:tcPr>
          <w:p>
            <w:pPr>
              <w:autoSpaceDE w:val="0"/>
              <w:autoSpaceDN w:val="0"/>
              <w:adjustRightInd w:val="0"/>
              <w:snapToGrid w:val="0"/>
              <w:jc w:val="left"/>
              <w:rPr>
                <w:rFonts w:ascii="宋体" w:hAnsi="宋体"/>
                <w:kern w:val="0"/>
                <w:szCs w:val="21"/>
              </w:rPr>
            </w:pPr>
          </w:p>
        </w:tc>
        <w:tc>
          <w:tcPr>
            <w:tcW w:w="795" w:type="dxa"/>
            <w:noWrap w:val="0"/>
            <w:vAlign w:val="top"/>
          </w:tcPr>
          <w:p>
            <w:pPr>
              <w:autoSpaceDE w:val="0"/>
              <w:autoSpaceDN w:val="0"/>
              <w:adjustRightInd w:val="0"/>
              <w:snapToGrid w:val="0"/>
              <w:jc w:val="left"/>
              <w:rPr>
                <w:rFonts w:ascii="宋体" w:hAnsi="宋体"/>
                <w:kern w:val="0"/>
                <w:szCs w:val="21"/>
              </w:rPr>
            </w:pPr>
          </w:p>
        </w:tc>
        <w:tc>
          <w:tcPr>
            <w:tcW w:w="1200"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825" w:type="dxa"/>
            <w:noWrap w:val="0"/>
            <w:vAlign w:val="top"/>
          </w:tcPr>
          <w:p>
            <w:pPr>
              <w:autoSpaceDE w:val="0"/>
              <w:autoSpaceDN w:val="0"/>
              <w:adjustRightInd w:val="0"/>
              <w:snapToGrid w:val="0"/>
              <w:jc w:val="left"/>
              <w:rPr>
                <w:rFonts w:ascii="宋体" w:hAnsi="宋体"/>
                <w:kern w:val="0"/>
                <w:szCs w:val="21"/>
              </w:rPr>
            </w:pPr>
          </w:p>
        </w:tc>
        <w:tc>
          <w:tcPr>
            <w:tcW w:w="2430" w:type="dxa"/>
            <w:noWrap w:val="0"/>
            <w:vAlign w:val="top"/>
          </w:tcPr>
          <w:p>
            <w:pPr>
              <w:autoSpaceDE w:val="0"/>
              <w:autoSpaceDN w:val="0"/>
              <w:adjustRightInd w:val="0"/>
              <w:snapToGrid w:val="0"/>
              <w:jc w:val="left"/>
              <w:rPr>
                <w:rFonts w:ascii="宋体" w:hAnsi="宋体"/>
                <w:kern w:val="0"/>
                <w:szCs w:val="21"/>
              </w:rPr>
            </w:pPr>
          </w:p>
        </w:tc>
        <w:tc>
          <w:tcPr>
            <w:tcW w:w="1170" w:type="dxa"/>
            <w:noWrap w:val="0"/>
            <w:vAlign w:val="top"/>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noWrap w:val="0"/>
            <w:vAlign w:val="top"/>
          </w:tcPr>
          <w:p>
            <w:pPr>
              <w:autoSpaceDE w:val="0"/>
              <w:autoSpaceDN w:val="0"/>
              <w:adjustRightInd w:val="0"/>
              <w:snapToGrid w:val="0"/>
              <w:jc w:val="left"/>
              <w:rPr>
                <w:rFonts w:ascii="宋体" w:hAnsi="宋体"/>
                <w:kern w:val="0"/>
                <w:szCs w:val="21"/>
              </w:rPr>
            </w:pPr>
          </w:p>
        </w:tc>
        <w:tc>
          <w:tcPr>
            <w:tcW w:w="705" w:type="dxa"/>
            <w:noWrap w:val="0"/>
            <w:vAlign w:val="top"/>
          </w:tcPr>
          <w:p>
            <w:pPr>
              <w:autoSpaceDE w:val="0"/>
              <w:autoSpaceDN w:val="0"/>
              <w:adjustRightInd w:val="0"/>
              <w:snapToGrid w:val="0"/>
              <w:jc w:val="left"/>
              <w:rPr>
                <w:rFonts w:ascii="宋体" w:hAnsi="宋体"/>
                <w:kern w:val="0"/>
                <w:szCs w:val="21"/>
              </w:rPr>
            </w:pPr>
          </w:p>
        </w:tc>
        <w:tc>
          <w:tcPr>
            <w:tcW w:w="795" w:type="dxa"/>
            <w:noWrap w:val="0"/>
            <w:vAlign w:val="top"/>
          </w:tcPr>
          <w:p>
            <w:pPr>
              <w:autoSpaceDE w:val="0"/>
              <w:autoSpaceDN w:val="0"/>
              <w:adjustRightInd w:val="0"/>
              <w:snapToGrid w:val="0"/>
              <w:jc w:val="left"/>
              <w:rPr>
                <w:rFonts w:ascii="宋体" w:hAnsi="宋体"/>
                <w:kern w:val="0"/>
                <w:szCs w:val="21"/>
              </w:rPr>
            </w:pPr>
          </w:p>
        </w:tc>
        <w:tc>
          <w:tcPr>
            <w:tcW w:w="1200"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825" w:type="dxa"/>
            <w:noWrap w:val="0"/>
            <w:vAlign w:val="top"/>
          </w:tcPr>
          <w:p>
            <w:pPr>
              <w:autoSpaceDE w:val="0"/>
              <w:autoSpaceDN w:val="0"/>
              <w:adjustRightInd w:val="0"/>
              <w:snapToGrid w:val="0"/>
              <w:jc w:val="left"/>
              <w:rPr>
                <w:rFonts w:ascii="宋体" w:hAnsi="宋体"/>
                <w:kern w:val="0"/>
                <w:szCs w:val="21"/>
              </w:rPr>
            </w:pPr>
          </w:p>
        </w:tc>
        <w:tc>
          <w:tcPr>
            <w:tcW w:w="2430" w:type="dxa"/>
            <w:noWrap w:val="0"/>
            <w:vAlign w:val="top"/>
          </w:tcPr>
          <w:p>
            <w:pPr>
              <w:autoSpaceDE w:val="0"/>
              <w:autoSpaceDN w:val="0"/>
              <w:adjustRightInd w:val="0"/>
              <w:snapToGrid w:val="0"/>
              <w:jc w:val="left"/>
              <w:rPr>
                <w:rFonts w:ascii="宋体" w:hAnsi="宋体"/>
                <w:kern w:val="0"/>
                <w:szCs w:val="21"/>
              </w:rPr>
            </w:pPr>
          </w:p>
        </w:tc>
        <w:tc>
          <w:tcPr>
            <w:tcW w:w="1170" w:type="dxa"/>
            <w:noWrap w:val="0"/>
            <w:vAlign w:val="top"/>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noWrap w:val="0"/>
            <w:vAlign w:val="top"/>
          </w:tcPr>
          <w:p>
            <w:pPr>
              <w:autoSpaceDE w:val="0"/>
              <w:autoSpaceDN w:val="0"/>
              <w:adjustRightInd w:val="0"/>
              <w:snapToGrid w:val="0"/>
              <w:jc w:val="left"/>
              <w:rPr>
                <w:rFonts w:ascii="宋体" w:hAnsi="宋体"/>
                <w:kern w:val="0"/>
                <w:szCs w:val="21"/>
              </w:rPr>
            </w:pPr>
          </w:p>
        </w:tc>
        <w:tc>
          <w:tcPr>
            <w:tcW w:w="705" w:type="dxa"/>
            <w:noWrap w:val="0"/>
            <w:vAlign w:val="top"/>
          </w:tcPr>
          <w:p>
            <w:pPr>
              <w:autoSpaceDE w:val="0"/>
              <w:autoSpaceDN w:val="0"/>
              <w:adjustRightInd w:val="0"/>
              <w:snapToGrid w:val="0"/>
              <w:jc w:val="left"/>
              <w:rPr>
                <w:rFonts w:ascii="宋体" w:hAnsi="宋体"/>
                <w:kern w:val="0"/>
                <w:szCs w:val="21"/>
              </w:rPr>
            </w:pPr>
          </w:p>
        </w:tc>
        <w:tc>
          <w:tcPr>
            <w:tcW w:w="795" w:type="dxa"/>
            <w:noWrap w:val="0"/>
            <w:vAlign w:val="top"/>
          </w:tcPr>
          <w:p>
            <w:pPr>
              <w:autoSpaceDE w:val="0"/>
              <w:autoSpaceDN w:val="0"/>
              <w:adjustRightInd w:val="0"/>
              <w:snapToGrid w:val="0"/>
              <w:jc w:val="left"/>
              <w:rPr>
                <w:rFonts w:ascii="宋体" w:hAnsi="宋体"/>
                <w:kern w:val="0"/>
                <w:szCs w:val="21"/>
              </w:rPr>
            </w:pPr>
          </w:p>
        </w:tc>
        <w:tc>
          <w:tcPr>
            <w:tcW w:w="1200"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825" w:type="dxa"/>
            <w:noWrap w:val="0"/>
            <w:vAlign w:val="top"/>
          </w:tcPr>
          <w:p>
            <w:pPr>
              <w:autoSpaceDE w:val="0"/>
              <w:autoSpaceDN w:val="0"/>
              <w:adjustRightInd w:val="0"/>
              <w:snapToGrid w:val="0"/>
              <w:jc w:val="left"/>
              <w:rPr>
                <w:rFonts w:ascii="宋体" w:hAnsi="宋体"/>
                <w:kern w:val="0"/>
                <w:szCs w:val="21"/>
              </w:rPr>
            </w:pPr>
          </w:p>
        </w:tc>
        <w:tc>
          <w:tcPr>
            <w:tcW w:w="2430" w:type="dxa"/>
            <w:noWrap w:val="0"/>
            <w:vAlign w:val="top"/>
          </w:tcPr>
          <w:p>
            <w:pPr>
              <w:autoSpaceDE w:val="0"/>
              <w:autoSpaceDN w:val="0"/>
              <w:adjustRightInd w:val="0"/>
              <w:snapToGrid w:val="0"/>
              <w:jc w:val="left"/>
              <w:rPr>
                <w:rFonts w:ascii="宋体" w:hAnsi="宋体"/>
                <w:kern w:val="0"/>
                <w:szCs w:val="21"/>
              </w:rPr>
            </w:pPr>
          </w:p>
        </w:tc>
        <w:tc>
          <w:tcPr>
            <w:tcW w:w="1170" w:type="dxa"/>
            <w:noWrap w:val="0"/>
            <w:vAlign w:val="top"/>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noWrap w:val="0"/>
            <w:vAlign w:val="top"/>
          </w:tcPr>
          <w:p>
            <w:pPr>
              <w:autoSpaceDE w:val="0"/>
              <w:autoSpaceDN w:val="0"/>
              <w:adjustRightInd w:val="0"/>
              <w:snapToGrid w:val="0"/>
              <w:jc w:val="left"/>
              <w:rPr>
                <w:rFonts w:ascii="宋体" w:hAnsi="宋体"/>
                <w:kern w:val="0"/>
                <w:szCs w:val="21"/>
              </w:rPr>
            </w:pPr>
          </w:p>
        </w:tc>
        <w:tc>
          <w:tcPr>
            <w:tcW w:w="705" w:type="dxa"/>
            <w:noWrap w:val="0"/>
            <w:vAlign w:val="top"/>
          </w:tcPr>
          <w:p>
            <w:pPr>
              <w:autoSpaceDE w:val="0"/>
              <w:autoSpaceDN w:val="0"/>
              <w:adjustRightInd w:val="0"/>
              <w:snapToGrid w:val="0"/>
              <w:jc w:val="left"/>
              <w:rPr>
                <w:rFonts w:ascii="宋体" w:hAnsi="宋体"/>
                <w:kern w:val="0"/>
                <w:szCs w:val="21"/>
              </w:rPr>
            </w:pPr>
          </w:p>
        </w:tc>
        <w:tc>
          <w:tcPr>
            <w:tcW w:w="795" w:type="dxa"/>
            <w:noWrap w:val="0"/>
            <w:vAlign w:val="top"/>
          </w:tcPr>
          <w:p>
            <w:pPr>
              <w:autoSpaceDE w:val="0"/>
              <w:autoSpaceDN w:val="0"/>
              <w:adjustRightInd w:val="0"/>
              <w:snapToGrid w:val="0"/>
              <w:jc w:val="left"/>
              <w:rPr>
                <w:rFonts w:ascii="宋体" w:hAnsi="宋体"/>
                <w:kern w:val="0"/>
                <w:szCs w:val="21"/>
              </w:rPr>
            </w:pPr>
          </w:p>
        </w:tc>
        <w:tc>
          <w:tcPr>
            <w:tcW w:w="1200"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825" w:type="dxa"/>
            <w:noWrap w:val="0"/>
            <w:vAlign w:val="top"/>
          </w:tcPr>
          <w:p>
            <w:pPr>
              <w:autoSpaceDE w:val="0"/>
              <w:autoSpaceDN w:val="0"/>
              <w:adjustRightInd w:val="0"/>
              <w:snapToGrid w:val="0"/>
              <w:jc w:val="left"/>
              <w:rPr>
                <w:rFonts w:ascii="宋体" w:hAnsi="宋体"/>
                <w:kern w:val="0"/>
                <w:szCs w:val="21"/>
              </w:rPr>
            </w:pPr>
          </w:p>
        </w:tc>
        <w:tc>
          <w:tcPr>
            <w:tcW w:w="2430" w:type="dxa"/>
            <w:noWrap w:val="0"/>
            <w:vAlign w:val="top"/>
          </w:tcPr>
          <w:p>
            <w:pPr>
              <w:autoSpaceDE w:val="0"/>
              <w:autoSpaceDN w:val="0"/>
              <w:adjustRightInd w:val="0"/>
              <w:snapToGrid w:val="0"/>
              <w:jc w:val="left"/>
              <w:rPr>
                <w:rFonts w:ascii="宋体" w:hAnsi="宋体"/>
                <w:kern w:val="0"/>
                <w:szCs w:val="21"/>
              </w:rPr>
            </w:pPr>
          </w:p>
        </w:tc>
        <w:tc>
          <w:tcPr>
            <w:tcW w:w="1170" w:type="dxa"/>
            <w:noWrap w:val="0"/>
            <w:vAlign w:val="top"/>
          </w:tcPr>
          <w:p>
            <w:pPr>
              <w:autoSpaceDE w:val="0"/>
              <w:autoSpaceDN w:val="0"/>
              <w:adjustRightInd w:val="0"/>
              <w:snapToGrid w:val="0"/>
              <w:jc w:val="left"/>
              <w:rPr>
                <w:rFonts w:ascii="宋体" w:hAnsi="宋体"/>
                <w:kern w:val="0"/>
                <w:szCs w:val="21"/>
              </w:rPr>
            </w:pPr>
          </w:p>
        </w:tc>
      </w:tr>
    </w:tbl>
    <w:p>
      <w:pPr>
        <w:spacing w:line="20" w:lineRule="exact"/>
        <w:jc w:val="center"/>
        <w:rPr>
          <w:rFonts w:ascii="宋体" w:hAnsi="宋体"/>
          <w:szCs w:val="21"/>
        </w:rPr>
      </w:pPr>
    </w:p>
    <w:p>
      <w:pPr>
        <w:spacing w:line="360" w:lineRule="auto"/>
        <w:jc w:val="left"/>
        <w:rPr>
          <w:rFonts w:hint="eastAsia" w:ascii="宋体" w:hAnsi="宋体" w:eastAsia="宋体"/>
          <w:szCs w:val="21"/>
          <w:lang w:eastAsia="zh-CN"/>
        </w:rPr>
      </w:pPr>
      <w:r>
        <w:rPr>
          <w:rFonts w:hint="eastAsia" w:ascii="宋体" w:hAnsi="宋体"/>
          <w:szCs w:val="21"/>
        </w:rPr>
        <w:t>备注：本表仅填项目经理、项目技术负责人相关信息</w:t>
      </w:r>
      <w:r>
        <w:rPr>
          <w:rFonts w:hint="eastAsia" w:ascii="宋体" w:hAnsi="宋体"/>
          <w:szCs w:val="21"/>
          <w:lang w:eastAsia="zh-CN"/>
        </w:rPr>
        <w:t>。</w:t>
      </w:r>
    </w:p>
    <w:p>
      <w:pPr>
        <w:spacing w:line="360" w:lineRule="auto"/>
        <w:ind w:firstLine="640"/>
        <w:jc w:val="center"/>
        <w:rPr>
          <w:rFonts w:ascii="宋体" w:hAnsi="宋体"/>
          <w:sz w:val="32"/>
          <w:szCs w:val="32"/>
        </w:rPr>
      </w:pPr>
      <w:r>
        <w:rPr>
          <w:rFonts w:ascii="宋体" w:hAnsi="宋体"/>
          <w:sz w:val="32"/>
          <w:szCs w:val="32"/>
        </w:rPr>
        <w:br w:type="page"/>
      </w:r>
      <w:r>
        <w:rPr>
          <w:rFonts w:hint="eastAsia" w:ascii="宋体" w:hAnsi="宋体"/>
          <w:sz w:val="32"/>
          <w:szCs w:val="32"/>
        </w:rPr>
        <w:t>项目经理及项目技术负责人简历表</w:t>
      </w:r>
      <w:bookmarkEnd w:id="622"/>
      <w:bookmarkEnd w:id="623"/>
    </w:p>
    <w:tbl>
      <w:tblPr>
        <w:tblStyle w:val="53"/>
        <w:tblW w:w="975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71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noWrap w:val="0"/>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姓名</w:t>
            </w:r>
          </w:p>
        </w:tc>
        <w:tc>
          <w:tcPr>
            <w:tcW w:w="1190" w:type="dxa"/>
            <w:gridSpan w:val="2"/>
            <w:noWrap w:val="0"/>
            <w:vAlign w:val="center"/>
          </w:tcPr>
          <w:p>
            <w:pPr>
              <w:autoSpaceDE w:val="0"/>
              <w:autoSpaceDN w:val="0"/>
              <w:adjustRightInd w:val="0"/>
              <w:snapToGrid w:val="0"/>
              <w:jc w:val="center"/>
              <w:rPr>
                <w:rFonts w:ascii="宋体" w:hAnsi="宋体"/>
                <w:kern w:val="0"/>
                <w:szCs w:val="21"/>
              </w:rPr>
            </w:pPr>
          </w:p>
        </w:tc>
        <w:tc>
          <w:tcPr>
            <w:tcW w:w="1020" w:type="dxa"/>
            <w:noWrap w:val="0"/>
            <w:vAlign w:val="center"/>
          </w:tcPr>
          <w:p>
            <w:pPr>
              <w:autoSpaceDE w:val="0"/>
              <w:autoSpaceDN w:val="0"/>
              <w:adjustRightInd w:val="0"/>
              <w:snapToGrid w:val="0"/>
              <w:jc w:val="center"/>
              <w:rPr>
                <w:rFonts w:ascii="宋体" w:hAnsi="宋体"/>
                <w:kern w:val="0"/>
                <w:szCs w:val="21"/>
              </w:rPr>
            </w:pPr>
            <w:r>
              <w:rPr>
                <w:rFonts w:ascii="宋体" w:hAnsi="宋体"/>
                <w:kern w:val="0"/>
                <w:szCs w:val="21"/>
              </w:rPr>
              <w:t>年龄</w:t>
            </w:r>
          </w:p>
        </w:tc>
        <w:tc>
          <w:tcPr>
            <w:tcW w:w="1175" w:type="dxa"/>
            <w:noWrap w:val="0"/>
            <w:vAlign w:val="center"/>
          </w:tcPr>
          <w:p>
            <w:pPr>
              <w:autoSpaceDE w:val="0"/>
              <w:autoSpaceDN w:val="0"/>
              <w:adjustRightInd w:val="0"/>
              <w:snapToGrid w:val="0"/>
              <w:jc w:val="center"/>
              <w:rPr>
                <w:rFonts w:ascii="宋体" w:hAnsi="宋体"/>
                <w:kern w:val="0"/>
                <w:szCs w:val="21"/>
              </w:rPr>
            </w:pPr>
          </w:p>
        </w:tc>
        <w:tc>
          <w:tcPr>
            <w:tcW w:w="2346" w:type="dxa"/>
            <w:gridSpan w:val="3"/>
            <w:noWrap w:val="0"/>
            <w:vAlign w:val="center"/>
          </w:tcPr>
          <w:p>
            <w:pPr>
              <w:autoSpaceDE w:val="0"/>
              <w:autoSpaceDN w:val="0"/>
              <w:adjustRightInd w:val="0"/>
              <w:snapToGrid w:val="0"/>
              <w:jc w:val="center"/>
              <w:rPr>
                <w:rFonts w:ascii="宋体" w:hAnsi="宋体"/>
                <w:kern w:val="0"/>
                <w:szCs w:val="21"/>
              </w:rPr>
            </w:pPr>
            <w:r>
              <w:rPr>
                <w:rFonts w:ascii="宋体" w:hAnsi="宋体"/>
                <w:kern w:val="0"/>
                <w:szCs w:val="21"/>
              </w:rPr>
              <w:t>学历</w:t>
            </w:r>
          </w:p>
        </w:tc>
        <w:tc>
          <w:tcPr>
            <w:tcW w:w="2718" w:type="dxa"/>
            <w:noWrap w:val="0"/>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noWrap w:val="0"/>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职称</w:t>
            </w:r>
          </w:p>
        </w:tc>
        <w:tc>
          <w:tcPr>
            <w:tcW w:w="1190" w:type="dxa"/>
            <w:gridSpan w:val="2"/>
            <w:noWrap w:val="0"/>
            <w:vAlign w:val="center"/>
          </w:tcPr>
          <w:p>
            <w:pPr>
              <w:autoSpaceDE w:val="0"/>
              <w:autoSpaceDN w:val="0"/>
              <w:adjustRightInd w:val="0"/>
              <w:snapToGrid w:val="0"/>
              <w:jc w:val="center"/>
              <w:rPr>
                <w:rFonts w:ascii="宋体" w:hAnsi="宋体"/>
                <w:kern w:val="0"/>
                <w:szCs w:val="21"/>
              </w:rPr>
            </w:pPr>
          </w:p>
        </w:tc>
        <w:tc>
          <w:tcPr>
            <w:tcW w:w="1020" w:type="dxa"/>
            <w:noWrap w:val="0"/>
            <w:vAlign w:val="center"/>
          </w:tcPr>
          <w:p>
            <w:pPr>
              <w:autoSpaceDE w:val="0"/>
              <w:autoSpaceDN w:val="0"/>
              <w:adjustRightInd w:val="0"/>
              <w:snapToGrid w:val="0"/>
              <w:jc w:val="center"/>
              <w:rPr>
                <w:rFonts w:ascii="宋体" w:hAnsi="宋体"/>
                <w:kern w:val="0"/>
                <w:szCs w:val="21"/>
              </w:rPr>
            </w:pPr>
            <w:r>
              <w:rPr>
                <w:rFonts w:ascii="宋体" w:hAnsi="宋体"/>
                <w:kern w:val="0"/>
                <w:szCs w:val="21"/>
              </w:rPr>
              <w:t>职务</w:t>
            </w:r>
          </w:p>
        </w:tc>
        <w:tc>
          <w:tcPr>
            <w:tcW w:w="1175" w:type="dxa"/>
            <w:noWrap w:val="0"/>
            <w:vAlign w:val="center"/>
          </w:tcPr>
          <w:p>
            <w:pPr>
              <w:autoSpaceDE w:val="0"/>
              <w:autoSpaceDN w:val="0"/>
              <w:adjustRightInd w:val="0"/>
              <w:snapToGrid w:val="0"/>
              <w:jc w:val="center"/>
              <w:rPr>
                <w:rFonts w:ascii="宋体" w:hAnsi="宋体"/>
                <w:kern w:val="0"/>
                <w:szCs w:val="21"/>
              </w:rPr>
            </w:pPr>
          </w:p>
        </w:tc>
        <w:tc>
          <w:tcPr>
            <w:tcW w:w="2346" w:type="dxa"/>
            <w:gridSpan w:val="3"/>
            <w:noWrap w:val="0"/>
            <w:vAlign w:val="center"/>
          </w:tcPr>
          <w:p>
            <w:pPr>
              <w:autoSpaceDE w:val="0"/>
              <w:autoSpaceDN w:val="0"/>
              <w:adjustRightInd w:val="0"/>
              <w:snapToGrid w:val="0"/>
              <w:jc w:val="center"/>
              <w:rPr>
                <w:rFonts w:ascii="宋体" w:hAnsi="宋体"/>
                <w:kern w:val="0"/>
                <w:szCs w:val="21"/>
              </w:rPr>
            </w:pPr>
            <w:r>
              <w:rPr>
                <w:rFonts w:ascii="宋体" w:hAnsi="宋体"/>
                <w:kern w:val="0"/>
                <w:szCs w:val="21"/>
              </w:rPr>
              <w:t>拟在本合同任职</w:t>
            </w:r>
          </w:p>
        </w:tc>
        <w:tc>
          <w:tcPr>
            <w:tcW w:w="2718" w:type="dxa"/>
            <w:noWrap w:val="0"/>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noWrap w:val="0"/>
            <w:vAlign w:val="center"/>
          </w:tcPr>
          <w:p>
            <w:pPr>
              <w:autoSpaceDE w:val="0"/>
              <w:autoSpaceDN w:val="0"/>
              <w:adjustRightInd w:val="0"/>
              <w:snapToGrid w:val="0"/>
              <w:jc w:val="center"/>
              <w:rPr>
                <w:rFonts w:ascii="宋体" w:hAnsi="宋体"/>
                <w:kern w:val="0"/>
                <w:szCs w:val="21"/>
              </w:rPr>
            </w:pPr>
            <w:r>
              <w:rPr>
                <w:rFonts w:ascii="宋体" w:hAnsi="宋体"/>
                <w:kern w:val="0"/>
                <w:szCs w:val="21"/>
              </w:rPr>
              <w:t>毕业学校</w:t>
            </w:r>
          </w:p>
        </w:tc>
        <w:tc>
          <w:tcPr>
            <w:tcW w:w="8449" w:type="dxa"/>
            <w:gridSpan w:val="8"/>
            <w:noWrap w:val="0"/>
            <w:vAlign w:val="center"/>
          </w:tcPr>
          <w:p>
            <w:pPr>
              <w:tabs>
                <w:tab w:val="left" w:pos="2820"/>
                <w:tab w:val="left" w:pos="4080"/>
              </w:tabs>
              <w:autoSpaceDE w:val="0"/>
              <w:autoSpaceDN w:val="0"/>
              <w:adjustRightInd w:val="0"/>
              <w:snapToGrid w:val="0"/>
              <w:jc w:val="center"/>
              <w:rPr>
                <w:rFonts w:ascii="宋体" w:hAnsi="宋体"/>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r>
            <w:r>
              <w:rPr>
                <w:rFonts w:ascii="宋体" w:hAnsi="宋体"/>
                <w:kern w:val="0"/>
                <w:szCs w:val="21"/>
              </w:rPr>
              <w:t>学校</w:t>
            </w:r>
            <w:r>
              <w:rPr>
                <w:rFonts w:ascii="宋体" w:hAnsi="宋体"/>
                <w:kern w:val="0"/>
                <w:szCs w:val="21"/>
              </w:rPr>
              <w:tab/>
            </w:r>
            <w:r>
              <w:rPr>
                <w:rFonts w:ascii="宋体" w:hAnsi="宋体"/>
                <w:kern w:val="0"/>
                <w:szCs w:val="21"/>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755" w:type="dxa"/>
            <w:gridSpan w:val="9"/>
            <w:noWrap w:val="0"/>
            <w:vAlign w:val="center"/>
          </w:tcPr>
          <w:p>
            <w:pPr>
              <w:autoSpaceDE w:val="0"/>
              <w:autoSpaceDN w:val="0"/>
              <w:adjustRightInd w:val="0"/>
              <w:snapToGrid w:val="0"/>
              <w:jc w:val="center"/>
              <w:rPr>
                <w:rFonts w:ascii="宋体" w:hAnsi="宋体"/>
                <w:kern w:val="0"/>
                <w:szCs w:val="21"/>
              </w:rPr>
            </w:pPr>
            <w:r>
              <w:rPr>
                <w:rFonts w:ascii="宋体" w:hAnsi="宋体"/>
                <w:kern w:val="0"/>
                <w:szCs w:val="21"/>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0"/>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时间</w:t>
            </w:r>
          </w:p>
        </w:tc>
        <w:tc>
          <w:tcPr>
            <w:tcW w:w="3768" w:type="dxa"/>
            <w:gridSpan w:val="4"/>
            <w:noWrap w:val="0"/>
            <w:vAlign w:val="center"/>
          </w:tcPr>
          <w:p>
            <w:pPr>
              <w:autoSpaceDE w:val="0"/>
              <w:autoSpaceDN w:val="0"/>
              <w:adjustRightInd w:val="0"/>
              <w:snapToGrid w:val="0"/>
              <w:jc w:val="center"/>
              <w:rPr>
                <w:rFonts w:ascii="宋体" w:hAnsi="宋体"/>
                <w:kern w:val="0"/>
                <w:szCs w:val="21"/>
              </w:rPr>
            </w:pPr>
            <w:r>
              <w:rPr>
                <w:rFonts w:ascii="宋体" w:hAnsi="宋体"/>
                <w:kern w:val="0"/>
                <w:szCs w:val="21"/>
              </w:rPr>
              <w:t>参加过的类似项目</w:t>
            </w:r>
          </w:p>
        </w:tc>
        <w:tc>
          <w:tcPr>
            <w:tcW w:w="1388" w:type="dxa"/>
            <w:noWrap w:val="0"/>
            <w:vAlign w:val="center"/>
          </w:tcPr>
          <w:p>
            <w:pPr>
              <w:autoSpaceDE w:val="0"/>
              <w:autoSpaceDN w:val="0"/>
              <w:adjustRightInd w:val="0"/>
              <w:snapToGrid w:val="0"/>
              <w:jc w:val="center"/>
              <w:rPr>
                <w:rFonts w:ascii="宋体" w:hAnsi="宋体"/>
                <w:kern w:val="0"/>
                <w:szCs w:val="21"/>
              </w:rPr>
            </w:pPr>
            <w:r>
              <w:rPr>
                <w:rFonts w:ascii="宋体" w:hAnsi="宋体"/>
                <w:kern w:val="0"/>
                <w:szCs w:val="21"/>
              </w:rPr>
              <w:t>担任职务</w:t>
            </w:r>
          </w:p>
        </w:tc>
        <w:tc>
          <w:tcPr>
            <w:tcW w:w="2896" w:type="dxa"/>
            <w:gridSpan w:val="2"/>
            <w:noWrap w:val="0"/>
            <w:vAlign w:val="center"/>
          </w:tcPr>
          <w:p>
            <w:pPr>
              <w:autoSpaceDE w:val="0"/>
              <w:autoSpaceDN w:val="0"/>
              <w:adjustRightInd w:val="0"/>
              <w:snapToGrid w:val="0"/>
              <w:jc w:val="center"/>
              <w:rPr>
                <w:rFonts w:ascii="宋体" w:hAnsi="宋体"/>
                <w:kern w:val="0"/>
                <w:szCs w:val="21"/>
              </w:rPr>
            </w:pPr>
            <w:r>
              <w:rPr>
                <w:rFonts w:ascii="宋体" w:hAnsi="宋体"/>
                <w:kern w:val="0"/>
                <w:szCs w:val="21"/>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0"/>
            <w:vAlign w:val="center"/>
          </w:tcPr>
          <w:p>
            <w:pPr>
              <w:autoSpaceDE w:val="0"/>
              <w:autoSpaceDN w:val="0"/>
              <w:adjustRightInd w:val="0"/>
              <w:snapToGrid w:val="0"/>
              <w:jc w:val="center"/>
              <w:rPr>
                <w:rFonts w:ascii="宋体" w:hAnsi="宋体"/>
                <w:kern w:val="0"/>
                <w:szCs w:val="21"/>
              </w:rPr>
            </w:pPr>
          </w:p>
        </w:tc>
        <w:tc>
          <w:tcPr>
            <w:tcW w:w="3768" w:type="dxa"/>
            <w:gridSpan w:val="4"/>
            <w:noWrap w:val="0"/>
            <w:vAlign w:val="center"/>
          </w:tcPr>
          <w:p>
            <w:pPr>
              <w:autoSpaceDE w:val="0"/>
              <w:autoSpaceDN w:val="0"/>
              <w:adjustRightInd w:val="0"/>
              <w:snapToGrid w:val="0"/>
              <w:jc w:val="center"/>
              <w:rPr>
                <w:rFonts w:ascii="宋体" w:hAnsi="宋体"/>
                <w:kern w:val="0"/>
                <w:szCs w:val="21"/>
              </w:rPr>
            </w:pPr>
          </w:p>
        </w:tc>
        <w:tc>
          <w:tcPr>
            <w:tcW w:w="1388" w:type="dxa"/>
            <w:noWrap w:val="0"/>
            <w:vAlign w:val="center"/>
          </w:tcPr>
          <w:p>
            <w:pPr>
              <w:autoSpaceDE w:val="0"/>
              <w:autoSpaceDN w:val="0"/>
              <w:adjustRightInd w:val="0"/>
              <w:snapToGrid w:val="0"/>
              <w:jc w:val="center"/>
              <w:rPr>
                <w:rFonts w:ascii="宋体" w:hAnsi="宋体"/>
                <w:kern w:val="0"/>
                <w:szCs w:val="21"/>
              </w:rPr>
            </w:pPr>
          </w:p>
        </w:tc>
        <w:tc>
          <w:tcPr>
            <w:tcW w:w="2896" w:type="dxa"/>
            <w:gridSpan w:val="2"/>
            <w:noWrap w:val="0"/>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0"/>
            <w:vAlign w:val="center"/>
          </w:tcPr>
          <w:p>
            <w:pPr>
              <w:autoSpaceDE w:val="0"/>
              <w:autoSpaceDN w:val="0"/>
              <w:adjustRightInd w:val="0"/>
              <w:snapToGrid w:val="0"/>
              <w:jc w:val="center"/>
              <w:rPr>
                <w:rFonts w:ascii="宋体" w:hAnsi="宋体"/>
                <w:kern w:val="0"/>
                <w:szCs w:val="21"/>
              </w:rPr>
            </w:pPr>
          </w:p>
        </w:tc>
        <w:tc>
          <w:tcPr>
            <w:tcW w:w="3768" w:type="dxa"/>
            <w:gridSpan w:val="4"/>
            <w:noWrap w:val="0"/>
            <w:vAlign w:val="center"/>
          </w:tcPr>
          <w:p>
            <w:pPr>
              <w:autoSpaceDE w:val="0"/>
              <w:autoSpaceDN w:val="0"/>
              <w:adjustRightInd w:val="0"/>
              <w:snapToGrid w:val="0"/>
              <w:jc w:val="center"/>
              <w:rPr>
                <w:rFonts w:ascii="宋体" w:hAnsi="宋体"/>
                <w:kern w:val="0"/>
                <w:szCs w:val="21"/>
              </w:rPr>
            </w:pPr>
          </w:p>
        </w:tc>
        <w:tc>
          <w:tcPr>
            <w:tcW w:w="1388" w:type="dxa"/>
            <w:noWrap w:val="0"/>
            <w:vAlign w:val="center"/>
          </w:tcPr>
          <w:p>
            <w:pPr>
              <w:autoSpaceDE w:val="0"/>
              <w:autoSpaceDN w:val="0"/>
              <w:adjustRightInd w:val="0"/>
              <w:snapToGrid w:val="0"/>
              <w:jc w:val="center"/>
              <w:rPr>
                <w:rFonts w:ascii="宋体" w:hAnsi="宋体"/>
                <w:kern w:val="0"/>
                <w:szCs w:val="21"/>
              </w:rPr>
            </w:pPr>
          </w:p>
        </w:tc>
        <w:tc>
          <w:tcPr>
            <w:tcW w:w="2896" w:type="dxa"/>
            <w:gridSpan w:val="2"/>
            <w:noWrap w:val="0"/>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0"/>
            <w:vAlign w:val="center"/>
          </w:tcPr>
          <w:p>
            <w:pPr>
              <w:autoSpaceDE w:val="0"/>
              <w:autoSpaceDN w:val="0"/>
              <w:adjustRightInd w:val="0"/>
              <w:snapToGrid w:val="0"/>
              <w:jc w:val="center"/>
              <w:rPr>
                <w:rFonts w:ascii="宋体" w:hAnsi="宋体"/>
                <w:kern w:val="0"/>
                <w:szCs w:val="21"/>
              </w:rPr>
            </w:pPr>
          </w:p>
        </w:tc>
        <w:tc>
          <w:tcPr>
            <w:tcW w:w="3768" w:type="dxa"/>
            <w:gridSpan w:val="4"/>
            <w:noWrap w:val="0"/>
            <w:vAlign w:val="center"/>
          </w:tcPr>
          <w:p>
            <w:pPr>
              <w:autoSpaceDE w:val="0"/>
              <w:autoSpaceDN w:val="0"/>
              <w:adjustRightInd w:val="0"/>
              <w:snapToGrid w:val="0"/>
              <w:jc w:val="center"/>
              <w:rPr>
                <w:rFonts w:ascii="宋体" w:hAnsi="宋体"/>
                <w:kern w:val="0"/>
                <w:szCs w:val="21"/>
              </w:rPr>
            </w:pPr>
          </w:p>
        </w:tc>
        <w:tc>
          <w:tcPr>
            <w:tcW w:w="1388" w:type="dxa"/>
            <w:noWrap w:val="0"/>
            <w:vAlign w:val="center"/>
          </w:tcPr>
          <w:p>
            <w:pPr>
              <w:autoSpaceDE w:val="0"/>
              <w:autoSpaceDN w:val="0"/>
              <w:adjustRightInd w:val="0"/>
              <w:snapToGrid w:val="0"/>
              <w:jc w:val="center"/>
              <w:rPr>
                <w:rFonts w:ascii="宋体" w:hAnsi="宋体"/>
                <w:kern w:val="0"/>
                <w:szCs w:val="21"/>
              </w:rPr>
            </w:pPr>
          </w:p>
        </w:tc>
        <w:tc>
          <w:tcPr>
            <w:tcW w:w="2896" w:type="dxa"/>
            <w:gridSpan w:val="2"/>
            <w:noWrap w:val="0"/>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0"/>
            <w:vAlign w:val="center"/>
          </w:tcPr>
          <w:p>
            <w:pPr>
              <w:autoSpaceDE w:val="0"/>
              <w:autoSpaceDN w:val="0"/>
              <w:adjustRightInd w:val="0"/>
              <w:snapToGrid w:val="0"/>
              <w:jc w:val="center"/>
              <w:rPr>
                <w:rFonts w:ascii="宋体" w:hAnsi="宋体"/>
                <w:kern w:val="0"/>
                <w:szCs w:val="21"/>
              </w:rPr>
            </w:pPr>
          </w:p>
        </w:tc>
        <w:tc>
          <w:tcPr>
            <w:tcW w:w="3768" w:type="dxa"/>
            <w:gridSpan w:val="4"/>
            <w:noWrap w:val="0"/>
            <w:vAlign w:val="center"/>
          </w:tcPr>
          <w:p>
            <w:pPr>
              <w:autoSpaceDE w:val="0"/>
              <w:autoSpaceDN w:val="0"/>
              <w:adjustRightInd w:val="0"/>
              <w:snapToGrid w:val="0"/>
              <w:jc w:val="center"/>
              <w:rPr>
                <w:rFonts w:ascii="宋体" w:hAnsi="宋体"/>
                <w:kern w:val="0"/>
                <w:szCs w:val="21"/>
              </w:rPr>
            </w:pPr>
          </w:p>
        </w:tc>
        <w:tc>
          <w:tcPr>
            <w:tcW w:w="1388" w:type="dxa"/>
            <w:noWrap w:val="0"/>
            <w:vAlign w:val="center"/>
          </w:tcPr>
          <w:p>
            <w:pPr>
              <w:autoSpaceDE w:val="0"/>
              <w:autoSpaceDN w:val="0"/>
              <w:adjustRightInd w:val="0"/>
              <w:snapToGrid w:val="0"/>
              <w:jc w:val="center"/>
              <w:rPr>
                <w:rFonts w:ascii="宋体" w:hAnsi="宋体"/>
                <w:kern w:val="0"/>
                <w:szCs w:val="21"/>
              </w:rPr>
            </w:pPr>
          </w:p>
        </w:tc>
        <w:tc>
          <w:tcPr>
            <w:tcW w:w="2896" w:type="dxa"/>
            <w:gridSpan w:val="2"/>
            <w:noWrap w:val="0"/>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0"/>
            <w:vAlign w:val="center"/>
          </w:tcPr>
          <w:p>
            <w:pPr>
              <w:autoSpaceDE w:val="0"/>
              <w:autoSpaceDN w:val="0"/>
              <w:adjustRightInd w:val="0"/>
              <w:snapToGrid w:val="0"/>
              <w:jc w:val="center"/>
              <w:rPr>
                <w:rFonts w:ascii="宋体" w:hAnsi="宋体"/>
                <w:kern w:val="0"/>
                <w:szCs w:val="21"/>
              </w:rPr>
            </w:pPr>
          </w:p>
        </w:tc>
        <w:tc>
          <w:tcPr>
            <w:tcW w:w="3768" w:type="dxa"/>
            <w:gridSpan w:val="4"/>
            <w:noWrap w:val="0"/>
            <w:vAlign w:val="center"/>
          </w:tcPr>
          <w:p>
            <w:pPr>
              <w:autoSpaceDE w:val="0"/>
              <w:autoSpaceDN w:val="0"/>
              <w:adjustRightInd w:val="0"/>
              <w:snapToGrid w:val="0"/>
              <w:jc w:val="center"/>
              <w:rPr>
                <w:rFonts w:ascii="宋体" w:hAnsi="宋体"/>
                <w:kern w:val="0"/>
                <w:szCs w:val="21"/>
              </w:rPr>
            </w:pPr>
          </w:p>
        </w:tc>
        <w:tc>
          <w:tcPr>
            <w:tcW w:w="1388" w:type="dxa"/>
            <w:noWrap w:val="0"/>
            <w:vAlign w:val="center"/>
          </w:tcPr>
          <w:p>
            <w:pPr>
              <w:autoSpaceDE w:val="0"/>
              <w:autoSpaceDN w:val="0"/>
              <w:adjustRightInd w:val="0"/>
              <w:snapToGrid w:val="0"/>
              <w:jc w:val="center"/>
              <w:rPr>
                <w:rFonts w:ascii="宋体" w:hAnsi="宋体"/>
                <w:kern w:val="0"/>
                <w:szCs w:val="21"/>
              </w:rPr>
            </w:pPr>
          </w:p>
        </w:tc>
        <w:tc>
          <w:tcPr>
            <w:tcW w:w="2896" w:type="dxa"/>
            <w:gridSpan w:val="2"/>
            <w:noWrap w:val="0"/>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0"/>
            <w:vAlign w:val="center"/>
          </w:tcPr>
          <w:p>
            <w:pPr>
              <w:autoSpaceDE w:val="0"/>
              <w:autoSpaceDN w:val="0"/>
              <w:adjustRightInd w:val="0"/>
              <w:snapToGrid w:val="0"/>
              <w:jc w:val="center"/>
              <w:rPr>
                <w:rFonts w:ascii="宋体" w:hAnsi="宋体"/>
                <w:kern w:val="0"/>
                <w:szCs w:val="21"/>
              </w:rPr>
            </w:pPr>
          </w:p>
        </w:tc>
        <w:tc>
          <w:tcPr>
            <w:tcW w:w="3768" w:type="dxa"/>
            <w:gridSpan w:val="4"/>
            <w:noWrap w:val="0"/>
            <w:vAlign w:val="center"/>
          </w:tcPr>
          <w:p>
            <w:pPr>
              <w:autoSpaceDE w:val="0"/>
              <w:autoSpaceDN w:val="0"/>
              <w:adjustRightInd w:val="0"/>
              <w:snapToGrid w:val="0"/>
              <w:jc w:val="center"/>
              <w:rPr>
                <w:rFonts w:ascii="宋体" w:hAnsi="宋体"/>
                <w:kern w:val="0"/>
                <w:szCs w:val="21"/>
              </w:rPr>
            </w:pPr>
          </w:p>
        </w:tc>
        <w:tc>
          <w:tcPr>
            <w:tcW w:w="1388" w:type="dxa"/>
            <w:noWrap w:val="0"/>
            <w:vAlign w:val="center"/>
          </w:tcPr>
          <w:p>
            <w:pPr>
              <w:autoSpaceDE w:val="0"/>
              <w:autoSpaceDN w:val="0"/>
              <w:adjustRightInd w:val="0"/>
              <w:snapToGrid w:val="0"/>
              <w:jc w:val="center"/>
              <w:rPr>
                <w:rFonts w:ascii="宋体" w:hAnsi="宋体"/>
                <w:kern w:val="0"/>
                <w:szCs w:val="21"/>
              </w:rPr>
            </w:pPr>
          </w:p>
        </w:tc>
        <w:tc>
          <w:tcPr>
            <w:tcW w:w="2896" w:type="dxa"/>
            <w:gridSpan w:val="2"/>
            <w:noWrap w:val="0"/>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0"/>
            <w:vAlign w:val="center"/>
          </w:tcPr>
          <w:p>
            <w:pPr>
              <w:autoSpaceDE w:val="0"/>
              <w:autoSpaceDN w:val="0"/>
              <w:adjustRightInd w:val="0"/>
              <w:snapToGrid w:val="0"/>
              <w:jc w:val="center"/>
              <w:rPr>
                <w:rFonts w:ascii="宋体" w:hAnsi="宋体"/>
                <w:kern w:val="0"/>
                <w:szCs w:val="21"/>
              </w:rPr>
            </w:pPr>
          </w:p>
        </w:tc>
        <w:tc>
          <w:tcPr>
            <w:tcW w:w="3768" w:type="dxa"/>
            <w:gridSpan w:val="4"/>
            <w:noWrap w:val="0"/>
            <w:vAlign w:val="center"/>
          </w:tcPr>
          <w:p>
            <w:pPr>
              <w:autoSpaceDE w:val="0"/>
              <w:autoSpaceDN w:val="0"/>
              <w:adjustRightInd w:val="0"/>
              <w:snapToGrid w:val="0"/>
              <w:jc w:val="center"/>
              <w:rPr>
                <w:rFonts w:ascii="宋体" w:hAnsi="宋体"/>
                <w:kern w:val="0"/>
                <w:szCs w:val="21"/>
              </w:rPr>
            </w:pPr>
          </w:p>
        </w:tc>
        <w:tc>
          <w:tcPr>
            <w:tcW w:w="1388" w:type="dxa"/>
            <w:noWrap w:val="0"/>
            <w:vAlign w:val="center"/>
          </w:tcPr>
          <w:p>
            <w:pPr>
              <w:autoSpaceDE w:val="0"/>
              <w:autoSpaceDN w:val="0"/>
              <w:adjustRightInd w:val="0"/>
              <w:snapToGrid w:val="0"/>
              <w:jc w:val="center"/>
              <w:rPr>
                <w:rFonts w:ascii="宋体" w:hAnsi="宋体"/>
                <w:kern w:val="0"/>
                <w:szCs w:val="21"/>
              </w:rPr>
            </w:pPr>
          </w:p>
        </w:tc>
        <w:tc>
          <w:tcPr>
            <w:tcW w:w="2896" w:type="dxa"/>
            <w:gridSpan w:val="2"/>
            <w:noWrap w:val="0"/>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0"/>
            <w:vAlign w:val="center"/>
          </w:tcPr>
          <w:p>
            <w:pPr>
              <w:autoSpaceDE w:val="0"/>
              <w:autoSpaceDN w:val="0"/>
              <w:adjustRightInd w:val="0"/>
              <w:snapToGrid w:val="0"/>
              <w:jc w:val="center"/>
              <w:rPr>
                <w:rFonts w:ascii="宋体" w:hAnsi="宋体"/>
                <w:kern w:val="0"/>
                <w:szCs w:val="21"/>
              </w:rPr>
            </w:pPr>
          </w:p>
        </w:tc>
        <w:tc>
          <w:tcPr>
            <w:tcW w:w="3768" w:type="dxa"/>
            <w:gridSpan w:val="4"/>
            <w:noWrap w:val="0"/>
            <w:vAlign w:val="center"/>
          </w:tcPr>
          <w:p>
            <w:pPr>
              <w:autoSpaceDE w:val="0"/>
              <w:autoSpaceDN w:val="0"/>
              <w:adjustRightInd w:val="0"/>
              <w:snapToGrid w:val="0"/>
              <w:jc w:val="center"/>
              <w:rPr>
                <w:rFonts w:ascii="宋体" w:hAnsi="宋体"/>
                <w:kern w:val="0"/>
                <w:szCs w:val="21"/>
              </w:rPr>
            </w:pPr>
          </w:p>
        </w:tc>
        <w:tc>
          <w:tcPr>
            <w:tcW w:w="1388" w:type="dxa"/>
            <w:noWrap w:val="0"/>
            <w:vAlign w:val="center"/>
          </w:tcPr>
          <w:p>
            <w:pPr>
              <w:autoSpaceDE w:val="0"/>
              <w:autoSpaceDN w:val="0"/>
              <w:adjustRightInd w:val="0"/>
              <w:snapToGrid w:val="0"/>
              <w:jc w:val="center"/>
              <w:rPr>
                <w:rFonts w:ascii="宋体" w:hAnsi="宋体"/>
                <w:kern w:val="0"/>
                <w:szCs w:val="21"/>
              </w:rPr>
            </w:pPr>
          </w:p>
        </w:tc>
        <w:tc>
          <w:tcPr>
            <w:tcW w:w="2896" w:type="dxa"/>
            <w:gridSpan w:val="2"/>
            <w:noWrap w:val="0"/>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0"/>
            <w:vAlign w:val="center"/>
          </w:tcPr>
          <w:p>
            <w:pPr>
              <w:autoSpaceDE w:val="0"/>
              <w:autoSpaceDN w:val="0"/>
              <w:adjustRightInd w:val="0"/>
              <w:snapToGrid w:val="0"/>
              <w:jc w:val="center"/>
              <w:rPr>
                <w:rFonts w:ascii="宋体" w:hAnsi="宋体"/>
                <w:kern w:val="0"/>
                <w:szCs w:val="21"/>
              </w:rPr>
            </w:pPr>
          </w:p>
        </w:tc>
        <w:tc>
          <w:tcPr>
            <w:tcW w:w="3768" w:type="dxa"/>
            <w:gridSpan w:val="4"/>
            <w:noWrap w:val="0"/>
            <w:vAlign w:val="center"/>
          </w:tcPr>
          <w:p>
            <w:pPr>
              <w:autoSpaceDE w:val="0"/>
              <w:autoSpaceDN w:val="0"/>
              <w:adjustRightInd w:val="0"/>
              <w:snapToGrid w:val="0"/>
              <w:jc w:val="center"/>
              <w:rPr>
                <w:rFonts w:ascii="宋体" w:hAnsi="宋体"/>
                <w:kern w:val="0"/>
                <w:szCs w:val="21"/>
              </w:rPr>
            </w:pPr>
          </w:p>
        </w:tc>
        <w:tc>
          <w:tcPr>
            <w:tcW w:w="1388" w:type="dxa"/>
            <w:noWrap w:val="0"/>
            <w:vAlign w:val="center"/>
          </w:tcPr>
          <w:p>
            <w:pPr>
              <w:autoSpaceDE w:val="0"/>
              <w:autoSpaceDN w:val="0"/>
              <w:adjustRightInd w:val="0"/>
              <w:snapToGrid w:val="0"/>
              <w:jc w:val="center"/>
              <w:rPr>
                <w:rFonts w:ascii="宋体" w:hAnsi="宋体"/>
                <w:kern w:val="0"/>
                <w:szCs w:val="21"/>
              </w:rPr>
            </w:pPr>
          </w:p>
        </w:tc>
        <w:tc>
          <w:tcPr>
            <w:tcW w:w="2896" w:type="dxa"/>
            <w:gridSpan w:val="2"/>
            <w:noWrap w:val="0"/>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0"/>
            <w:vAlign w:val="center"/>
          </w:tcPr>
          <w:p>
            <w:pPr>
              <w:autoSpaceDE w:val="0"/>
              <w:autoSpaceDN w:val="0"/>
              <w:adjustRightInd w:val="0"/>
              <w:snapToGrid w:val="0"/>
              <w:jc w:val="center"/>
              <w:rPr>
                <w:rFonts w:ascii="宋体" w:hAnsi="宋体"/>
                <w:kern w:val="0"/>
                <w:szCs w:val="21"/>
              </w:rPr>
            </w:pPr>
          </w:p>
        </w:tc>
        <w:tc>
          <w:tcPr>
            <w:tcW w:w="3768" w:type="dxa"/>
            <w:gridSpan w:val="4"/>
            <w:noWrap w:val="0"/>
            <w:vAlign w:val="center"/>
          </w:tcPr>
          <w:p>
            <w:pPr>
              <w:autoSpaceDE w:val="0"/>
              <w:autoSpaceDN w:val="0"/>
              <w:adjustRightInd w:val="0"/>
              <w:snapToGrid w:val="0"/>
              <w:jc w:val="center"/>
              <w:rPr>
                <w:rFonts w:ascii="宋体" w:hAnsi="宋体"/>
                <w:kern w:val="0"/>
                <w:szCs w:val="21"/>
              </w:rPr>
            </w:pPr>
          </w:p>
        </w:tc>
        <w:tc>
          <w:tcPr>
            <w:tcW w:w="1388" w:type="dxa"/>
            <w:noWrap w:val="0"/>
            <w:vAlign w:val="center"/>
          </w:tcPr>
          <w:p>
            <w:pPr>
              <w:autoSpaceDE w:val="0"/>
              <w:autoSpaceDN w:val="0"/>
              <w:adjustRightInd w:val="0"/>
              <w:snapToGrid w:val="0"/>
              <w:jc w:val="center"/>
              <w:rPr>
                <w:rFonts w:ascii="宋体" w:hAnsi="宋体"/>
                <w:kern w:val="0"/>
                <w:szCs w:val="21"/>
              </w:rPr>
            </w:pPr>
          </w:p>
        </w:tc>
        <w:tc>
          <w:tcPr>
            <w:tcW w:w="2896" w:type="dxa"/>
            <w:gridSpan w:val="2"/>
            <w:noWrap w:val="0"/>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0"/>
            <w:vAlign w:val="center"/>
          </w:tcPr>
          <w:p>
            <w:pPr>
              <w:autoSpaceDE w:val="0"/>
              <w:autoSpaceDN w:val="0"/>
              <w:adjustRightInd w:val="0"/>
              <w:snapToGrid w:val="0"/>
              <w:jc w:val="center"/>
              <w:rPr>
                <w:rFonts w:ascii="宋体" w:hAnsi="宋体"/>
                <w:kern w:val="0"/>
                <w:szCs w:val="21"/>
              </w:rPr>
            </w:pPr>
          </w:p>
        </w:tc>
        <w:tc>
          <w:tcPr>
            <w:tcW w:w="3768" w:type="dxa"/>
            <w:gridSpan w:val="4"/>
            <w:noWrap w:val="0"/>
            <w:vAlign w:val="center"/>
          </w:tcPr>
          <w:p>
            <w:pPr>
              <w:autoSpaceDE w:val="0"/>
              <w:autoSpaceDN w:val="0"/>
              <w:adjustRightInd w:val="0"/>
              <w:snapToGrid w:val="0"/>
              <w:jc w:val="center"/>
              <w:rPr>
                <w:rFonts w:ascii="宋体" w:hAnsi="宋体"/>
                <w:kern w:val="0"/>
                <w:szCs w:val="21"/>
              </w:rPr>
            </w:pPr>
          </w:p>
        </w:tc>
        <w:tc>
          <w:tcPr>
            <w:tcW w:w="1388" w:type="dxa"/>
            <w:noWrap w:val="0"/>
            <w:vAlign w:val="center"/>
          </w:tcPr>
          <w:p>
            <w:pPr>
              <w:autoSpaceDE w:val="0"/>
              <w:autoSpaceDN w:val="0"/>
              <w:adjustRightInd w:val="0"/>
              <w:snapToGrid w:val="0"/>
              <w:jc w:val="center"/>
              <w:rPr>
                <w:rFonts w:ascii="宋体" w:hAnsi="宋体"/>
                <w:kern w:val="0"/>
                <w:szCs w:val="21"/>
              </w:rPr>
            </w:pPr>
          </w:p>
        </w:tc>
        <w:tc>
          <w:tcPr>
            <w:tcW w:w="2896" w:type="dxa"/>
            <w:gridSpan w:val="2"/>
            <w:noWrap w:val="0"/>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0"/>
            <w:vAlign w:val="center"/>
          </w:tcPr>
          <w:p>
            <w:pPr>
              <w:autoSpaceDE w:val="0"/>
              <w:autoSpaceDN w:val="0"/>
              <w:adjustRightInd w:val="0"/>
              <w:snapToGrid w:val="0"/>
              <w:jc w:val="center"/>
              <w:rPr>
                <w:rFonts w:ascii="宋体" w:hAnsi="宋体"/>
                <w:kern w:val="0"/>
                <w:szCs w:val="21"/>
              </w:rPr>
            </w:pPr>
          </w:p>
        </w:tc>
        <w:tc>
          <w:tcPr>
            <w:tcW w:w="3768" w:type="dxa"/>
            <w:gridSpan w:val="4"/>
            <w:noWrap w:val="0"/>
            <w:vAlign w:val="center"/>
          </w:tcPr>
          <w:p>
            <w:pPr>
              <w:autoSpaceDE w:val="0"/>
              <w:autoSpaceDN w:val="0"/>
              <w:adjustRightInd w:val="0"/>
              <w:snapToGrid w:val="0"/>
              <w:jc w:val="center"/>
              <w:rPr>
                <w:rFonts w:ascii="宋体" w:hAnsi="宋体"/>
                <w:kern w:val="0"/>
                <w:szCs w:val="21"/>
              </w:rPr>
            </w:pPr>
          </w:p>
        </w:tc>
        <w:tc>
          <w:tcPr>
            <w:tcW w:w="1388" w:type="dxa"/>
            <w:noWrap w:val="0"/>
            <w:vAlign w:val="center"/>
          </w:tcPr>
          <w:p>
            <w:pPr>
              <w:autoSpaceDE w:val="0"/>
              <w:autoSpaceDN w:val="0"/>
              <w:adjustRightInd w:val="0"/>
              <w:snapToGrid w:val="0"/>
              <w:jc w:val="center"/>
              <w:rPr>
                <w:rFonts w:ascii="宋体" w:hAnsi="宋体"/>
                <w:kern w:val="0"/>
                <w:szCs w:val="21"/>
              </w:rPr>
            </w:pPr>
          </w:p>
        </w:tc>
        <w:tc>
          <w:tcPr>
            <w:tcW w:w="2896" w:type="dxa"/>
            <w:gridSpan w:val="2"/>
            <w:noWrap w:val="0"/>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noWrap w:val="0"/>
            <w:vAlign w:val="center"/>
          </w:tcPr>
          <w:p>
            <w:pPr>
              <w:autoSpaceDE w:val="0"/>
              <w:autoSpaceDN w:val="0"/>
              <w:adjustRightInd w:val="0"/>
              <w:snapToGrid w:val="0"/>
              <w:jc w:val="center"/>
              <w:rPr>
                <w:rFonts w:ascii="宋体" w:hAnsi="宋体"/>
                <w:kern w:val="0"/>
                <w:szCs w:val="21"/>
              </w:rPr>
            </w:pPr>
          </w:p>
        </w:tc>
        <w:tc>
          <w:tcPr>
            <w:tcW w:w="3768" w:type="dxa"/>
            <w:gridSpan w:val="4"/>
            <w:noWrap w:val="0"/>
            <w:vAlign w:val="center"/>
          </w:tcPr>
          <w:p>
            <w:pPr>
              <w:autoSpaceDE w:val="0"/>
              <w:autoSpaceDN w:val="0"/>
              <w:adjustRightInd w:val="0"/>
              <w:snapToGrid w:val="0"/>
              <w:jc w:val="center"/>
              <w:rPr>
                <w:rFonts w:ascii="宋体" w:hAnsi="宋体"/>
                <w:kern w:val="0"/>
                <w:szCs w:val="21"/>
              </w:rPr>
            </w:pPr>
          </w:p>
        </w:tc>
        <w:tc>
          <w:tcPr>
            <w:tcW w:w="1388" w:type="dxa"/>
            <w:noWrap w:val="0"/>
            <w:vAlign w:val="center"/>
          </w:tcPr>
          <w:p>
            <w:pPr>
              <w:autoSpaceDE w:val="0"/>
              <w:autoSpaceDN w:val="0"/>
              <w:adjustRightInd w:val="0"/>
              <w:snapToGrid w:val="0"/>
              <w:jc w:val="center"/>
              <w:rPr>
                <w:rFonts w:ascii="宋体" w:hAnsi="宋体"/>
                <w:kern w:val="0"/>
                <w:szCs w:val="21"/>
              </w:rPr>
            </w:pPr>
          </w:p>
        </w:tc>
        <w:tc>
          <w:tcPr>
            <w:tcW w:w="2896" w:type="dxa"/>
            <w:gridSpan w:val="2"/>
            <w:noWrap w:val="0"/>
            <w:vAlign w:val="center"/>
          </w:tcPr>
          <w:p>
            <w:pPr>
              <w:autoSpaceDE w:val="0"/>
              <w:autoSpaceDN w:val="0"/>
              <w:adjustRightInd w:val="0"/>
              <w:snapToGrid w:val="0"/>
              <w:jc w:val="center"/>
              <w:rPr>
                <w:rFonts w:ascii="宋体" w:hAnsi="宋体"/>
                <w:kern w:val="0"/>
                <w:szCs w:val="21"/>
              </w:rPr>
            </w:pPr>
          </w:p>
        </w:tc>
      </w:tr>
    </w:tbl>
    <w:p>
      <w:pPr>
        <w:spacing w:line="360" w:lineRule="auto"/>
        <w:rPr>
          <w:rFonts w:ascii="宋体" w:hAnsi="宋体"/>
        </w:rPr>
      </w:pPr>
      <w:bookmarkStart w:id="628" w:name="_Toc224103515"/>
    </w:p>
    <w:bookmarkEnd w:id="628"/>
    <w:p>
      <w:pPr>
        <w:pStyle w:val="7"/>
        <w:spacing w:before="0" w:line="360" w:lineRule="auto"/>
        <w:jc w:val="center"/>
        <w:rPr>
          <w:rFonts w:ascii="宋体" w:hAnsi="宋体"/>
          <w:b w:val="0"/>
        </w:rPr>
      </w:pPr>
      <w:bookmarkStart w:id="629" w:name="_Toc534185843"/>
      <w:bookmarkStart w:id="630" w:name="_Toc430530552"/>
      <w:bookmarkStart w:id="631" w:name="_Toc287620839"/>
      <w:bookmarkStart w:id="632" w:name="_Toc277082663"/>
      <w:bookmarkStart w:id="633" w:name="_Toc224103520"/>
      <w:bookmarkStart w:id="634" w:name="_Toc509218866"/>
      <w:bookmarkStart w:id="635" w:name="_Toc287607893"/>
      <w:bookmarkStart w:id="636" w:name="_Toc26467"/>
      <w:bookmarkStart w:id="637" w:name="_Toc1320"/>
      <w:r>
        <w:rPr>
          <w:rFonts w:ascii="宋体" w:hAnsi="宋体"/>
          <w:b w:val="0"/>
        </w:rPr>
        <w:t>（</w:t>
      </w:r>
      <w:r>
        <w:rPr>
          <w:rFonts w:hint="eastAsia" w:ascii="宋体" w:hAnsi="宋体"/>
          <w:b w:val="0"/>
          <w:lang w:val="en-US" w:eastAsia="zh-CN"/>
        </w:rPr>
        <w:t>四</w:t>
      </w:r>
      <w:r>
        <w:rPr>
          <w:rFonts w:ascii="宋体" w:hAnsi="宋体"/>
          <w:b w:val="0"/>
        </w:rPr>
        <w:t>）</w:t>
      </w:r>
      <w:bookmarkEnd w:id="629"/>
      <w:bookmarkEnd w:id="630"/>
      <w:bookmarkEnd w:id="631"/>
      <w:bookmarkEnd w:id="632"/>
      <w:bookmarkEnd w:id="633"/>
      <w:bookmarkEnd w:id="634"/>
      <w:bookmarkEnd w:id="635"/>
      <w:r>
        <w:rPr>
          <w:rFonts w:hint="eastAsia" w:ascii="宋体" w:hAnsi="宋体"/>
          <w:b w:val="0"/>
        </w:rPr>
        <w:t>承诺</w:t>
      </w:r>
      <w:bookmarkEnd w:id="636"/>
      <w:bookmarkEnd w:id="637"/>
    </w:p>
    <w:p>
      <w:pPr>
        <w:keepNext w:val="0"/>
        <w:keepLines w:val="0"/>
        <w:pageBreakBefore w:val="0"/>
        <w:widowControl w:val="0"/>
        <w:kinsoku/>
        <w:wordWrap/>
        <w:overflowPunct/>
        <w:topLinePunct w:val="0"/>
        <w:bidi w:val="0"/>
        <w:snapToGrid w:val="0"/>
        <w:spacing w:line="500" w:lineRule="exact"/>
        <w:textAlignment w:val="auto"/>
        <w:rPr>
          <w:rFonts w:ascii="宋体" w:hAnsi="宋体"/>
          <w:szCs w:val="21"/>
          <w:u w:val="single"/>
        </w:rPr>
      </w:pP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（招标人名称）</w:t>
      </w:r>
      <w:r>
        <w:rPr>
          <w:rFonts w:hint="eastAsia" w:ascii="宋体" w:hAnsi="宋体"/>
          <w:szCs w:val="21"/>
        </w:rPr>
        <w:t>：</w:t>
      </w:r>
    </w:p>
    <w:p>
      <w:pPr>
        <w:keepNext w:val="0"/>
        <w:keepLines w:val="0"/>
        <w:pageBreakBefore w:val="0"/>
        <w:widowControl w:val="0"/>
        <w:kinsoku/>
        <w:wordWrap/>
        <w:overflowPunct/>
        <w:topLinePunct w:val="0"/>
        <w:bidi w:val="0"/>
        <w:snapToGrid w:val="0"/>
        <w:spacing w:line="500" w:lineRule="exact"/>
        <w:ind w:firstLine="420" w:firstLineChars="200"/>
        <w:textAlignment w:val="auto"/>
        <w:rPr>
          <w:rFonts w:ascii="宋体" w:hAnsi="宋体"/>
          <w:szCs w:val="21"/>
        </w:rPr>
      </w:pPr>
      <w:r>
        <w:rPr>
          <w:rFonts w:hint="eastAsia" w:ascii="宋体" w:hAnsi="宋体"/>
          <w:szCs w:val="21"/>
        </w:rPr>
        <w:t>我公司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的投标，自愿作出以下承诺：</w:t>
      </w:r>
    </w:p>
    <w:p>
      <w:pPr>
        <w:keepNext w:val="0"/>
        <w:keepLines w:val="0"/>
        <w:pageBreakBefore w:val="0"/>
        <w:widowControl w:val="0"/>
        <w:kinsoku/>
        <w:wordWrap/>
        <w:overflowPunct/>
        <w:topLinePunct w:val="0"/>
        <w:bidi w:val="0"/>
        <w:snapToGrid w:val="0"/>
        <w:spacing w:line="500" w:lineRule="exact"/>
        <w:ind w:firstLine="420" w:firstLineChars="200"/>
        <w:textAlignment w:val="auto"/>
        <w:rPr>
          <w:rFonts w:ascii="宋体" w:hAnsi="宋体"/>
          <w:szCs w:val="21"/>
        </w:rPr>
      </w:pPr>
      <w:r>
        <w:rPr>
          <w:rFonts w:hint="eastAsia" w:ascii="宋体" w:hAnsi="宋体"/>
          <w:szCs w:val="21"/>
        </w:rPr>
        <w:t>1、我公司投标截止日投标资格情况不存在下列情形之一：</w:t>
      </w:r>
    </w:p>
    <w:p>
      <w:pPr>
        <w:keepNext w:val="0"/>
        <w:keepLines w:val="0"/>
        <w:pageBreakBefore w:val="0"/>
        <w:widowControl w:val="0"/>
        <w:kinsoku/>
        <w:wordWrap/>
        <w:overflowPunct/>
        <w:topLinePunct w:val="0"/>
        <w:bidi w:val="0"/>
        <w:snapToGrid w:val="0"/>
        <w:spacing w:line="500" w:lineRule="exact"/>
        <w:ind w:firstLine="420" w:firstLineChars="200"/>
        <w:jc w:val="left"/>
        <w:textAlignment w:val="auto"/>
        <w:rPr>
          <w:rFonts w:ascii="宋体" w:hAnsi="宋体"/>
          <w:szCs w:val="21"/>
        </w:rPr>
      </w:pPr>
      <w:r>
        <w:rPr>
          <w:rFonts w:hint="eastAsia" w:ascii="宋体" w:hAnsi="宋体"/>
          <w:szCs w:val="21"/>
        </w:rPr>
        <w:t>（1）被人民法院列入失信被执行人名单且在被执行期内；</w:t>
      </w:r>
    </w:p>
    <w:p>
      <w:pPr>
        <w:keepNext w:val="0"/>
        <w:keepLines w:val="0"/>
        <w:pageBreakBefore w:val="0"/>
        <w:widowControl w:val="0"/>
        <w:kinsoku/>
        <w:wordWrap/>
        <w:overflowPunct/>
        <w:topLinePunct w:val="0"/>
        <w:bidi w:val="0"/>
        <w:snapToGrid w:val="0"/>
        <w:spacing w:line="500" w:lineRule="exact"/>
        <w:ind w:firstLine="420" w:firstLineChars="200"/>
        <w:textAlignment w:val="auto"/>
        <w:rPr>
          <w:rFonts w:ascii="宋体" w:hAnsi="宋体"/>
          <w:szCs w:val="21"/>
        </w:rPr>
      </w:pPr>
      <w:r>
        <w:rPr>
          <w:rFonts w:hint="eastAsia" w:ascii="宋体" w:hAnsi="宋体"/>
          <w:szCs w:val="21"/>
        </w:rPr>
        <w:t>（2）被列入《重庆市工程建设领域招标投标信用管理暂行办法》规定的重点关注名单且记分达到12分且在记分有效期内；</w:t>
      </w:r>
    </w:p>
    <w:p>
      <w:pPr>
        <w:keepNext w:val="0"/>
        <w:keepLines w:val="0"/>
        <w:pageBreakBefore w:val="0"/>
        <w:widowControl w:val="0"/>
        <w:kinsoku/>
        <w:wordWrap/>
        <w:overflowPunct/>
        <w:topLinePunct w:val="0"/>
        <w:bidi w:val="0"/>
        <w:snapToGrid w:val="0"/>
        <w:spacing w:line="500" w:lineRule="exact"/>
        <w:ind w:firstLine="420" w:firstLineChars="200"/>
        <w:textAlignment w:val="auto"/>
        <w:rPr>
          <w:rFonts w:ascii="宋体" w:hAnsi="宋体"/>
          <w:szCs w:val="21"/>
        </w:rPr>
      </w:pPr>
      <w:r>
        <w:rPr>
          <w:rFonts w:hint="eastAsia" w:ascii="宋体" w:hAnsi="宋体"/>
          <w:szCs w:val="21"/>
        </w:rPr>
        <w:t>（3）被列入《重庆市工程建设领域招标投标信用管理暂行办法》规定的黑名单且在记分有效期内；</w:t>
      </w:r>
    </w:p>
    <w:p>
      <w:pPr>
        <w:keepNext w:val="0"/>
        <w:keepLines w:val="0"/>
        <w:pageBreakBefore w:val="0"/>
        <w:widowControl w:val="0"/>
        <w:kinsoku/>
        <w:wordWrap/>
        <w:overflowPunct/>
        <w:topLinePunct w:val="0"/>
        <w:bidi w:val="0"/>
        <w:snapToGrid w:val="0"/>
        <w:spacing w:line="500" w:lineRule="exact"/>
        <w:ind w:firstLine="420" w:firstLineChars="200"/>
        <w:textAlignment w:val="auto"/>
        <w:rPr>
          <w:rFonts w:ascii="宋体" w:hAnsi="宋体"/>
          <w:szCs w:val="21"/>
        </w:rPr>
      </w:pPr>
      <w:r>
        <w:rPr>
          <w:rFonts w:hint="eastAsia" w:ascii="宋体" w:hAnsi="宋体"/>
          <w:szCs w:val="21"/>
        </w:rPr>
        <w:t>（4）被国家、重庆市（含市或任意区县）有关行政部门处以暂停投标资格行政处罚，且在处罚期限内；</w:t>
      </w:r>
    </w:p>
    <w:p>
      <w:pPr>
        <w:keepNext w:val="0"/>
        <w:keepLines w:val="0"/>
        <w:pageBreakBefore w:val="0"/>
        <w:widowControl w:val="0"/>
        <w:kinsoku/>
        <w:wordWrap/>
        <w:overflowPunct/>
        <w:topLinePunct w:val="0"/>
        <w:bidi w:val="0"/>
        <w:snapToGrid w:val="0"/>
        <w:spacing w:line="500" w:lineRule="exact"/>
        <w:ind w:firstLine="420" w:firstLineChars="200"/>
        <w:textAlignment w:val="auto"/>
        <w:rPr>
          <w:rFonts w:ascii="宋体" w:hAnsi="宋体"/>
          <w:szCs w:val="21"/>
        </w:rPr>
      </w:pPr>
      <w:r>
        <w:rPr>
          <w:rFonts w:hint="eastAsia" w:ascii="宋体" w:hAnsi="宋体"/>
          <w:szCs w:val="21"/>
        </w:rPr>
        <w:t>（5）被重庆市住房和城乡建设主管部门暂停在渝承揽新业务且在暂停期内。</w:t>
      </w:r>
    </w:p>
    <w:p>
      <w:pPr>
        <w:keepNext w:val="0"/>
        <w:keepLines w:val="0"/>
        <w:pageBreakBefore w:val="0"/>
        <w:widowControl w:val="0"/>
        <w:kinsoku/>
        <w:wordWrap/>
        <w:overflowPunct/>
        <w:topLinePunct w:val="0"/>
        <w:bidi w:val="0"/>
        <w:snapToGrid w:val="0"/>
        <w:spacing w:line="500" w:lineRule="exact"/>
        <w:ind w:firstLine="420" w:firstLineChars="200"/>
        <w:textAlignment w:val="auto"/>
        <w:rPr>
          <w:rFonts w:ascii="宋体" w:hAnsi="宋体"/>
          <w:szCs w:val="21"/>
        </w:rPr>
      </w:pPr>
      <w:r>
        <w:rPr>
          <w:rFonts w:hint="eastAsia" w:ascii="宋体" w:hAnsi="宋体"/>
          <w:szCs w:val="21"/>
        </w:rPr>
        <w:t>2、我公司拟派的项目经理按注册建造师的相关规定到岗履职和未被禁止参与投标。</w:t>
      </w:r>
    </w:p>
    <w:p>
      <w:pPr>
        <w:keepNext w:val="0"/>
        <w:keepLines w:val="0"/>
        <w:pageBreakBefore w:val="0"/>
        <w:widowControl w:val="0"/>
        <w:kinsoku/>
        <w:wordWrap/>
        <w:overflowPunct/>
        <w:topLinePunct w:val="0"/>
        <w:bidi w:val="0"/>
        <w:snapToGrid w:val="0"/>
        <w:spacing w:line="500" w:lineRule="exact"/>
        <w:ind w:firstLine="420" w:firstLineChars="200"/>
        <w:textAlignment w:val="auto"/>
        <w:rPr>
          <w:rFonts w:ascii="宋体" w:hAnsi="宋体"/>
          <w:szCs w:val="21"/>
        </w:rPr>
      </w:pPr>
      <w:r>
        <w:rPr>
          <w:rFonts w:hint="eastAsia" w:ascii="宋体" w:hAnsi="宋体"/>
          <w:szCs w:val="21"/>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keepNext w:val="0"/>
        <w:keepLines w:val="0"/>
        <w:pageBreakBefore w:val="0"/>
        <w:widowControl w:val="0"/>
        <w:kinsoku/>
        <w:wordWrap/>
        <w:overflowPunct/>
        <w:topLinePunct w:val="0"/>
        <w:bidi w:val="0"/>
        <w:snapToGrid w:val="0"/>
        <w:spacing w:line="500" w:lineRule="exact"/>
        <w:ind w:firstLine="420" w:firstLineChars="200"/>
        <w:textAlignment w:val="auto"/>
        <w:rPr>
          <w:rFonts w:ascii="宋体" w:hAnsi="宋体"/>
          <w:szCs w:val="21"/>
        </w:rPr>
      </w:pPr>
      <w:r>
        <w:rPr>
          <w:rFonts w:hint="eastAsia" w:ascii="宋体" w:hAnsi="宋体"/>
          <w:szCs w:val="21"/>
        </w:rPr>
        <w:t>2.2拟派的项目经理未被重庆市住房和城乡建设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keepNext w:val="0"/>
        <w:keepLines w:val="0"/>
        <w:pageBreakBefore w:val="0"/>
        <w:widowControl w:val="0"/>
        <w:kinsoku/>
        <w:wordWrap/>
        <w:overflowPunct/>
        <w:topLinePunct w:val="0"/>
        <w:bidi w:val="0"/>
        <w:snapToGrid w:val="0"/>
        <w:spacing w:line="500" w:lineRule="exact"/>
        <w:ind w:firstLine="420" w:firstLineChars="200"/>
        <w:textAlignment w:val="auto"/>
        <w:rPr>
          <w:rFonts w:ascii="宋体" w:hAnsi="宋体"/>
          <w:szCs w:val="21"/>
        </w:rPr>
      </w:pPr>
      <w:r>
        <w:rPr>
          <w:rFonts w:hint="eastAsia" w:ascii="宋体" w:hAnsi="宋体"/>
          <w:szCs w:val="21"/>
        </w:rPr>
        <w:t>2.3为保证我公司拟派的项目经理到本项目到岗履职，我公司还承诺：</w:t>
      </w:r>
    </w:p>
    <w:p>
      <w:pPr>
        <w:keepNext w:val="0"/>
        <w:keepLines w:val="0"/>
        <w:pageBreakBefore w:val="0"/>
        <w:widowControl w:val="0"/>
        <w:kinsoku/>
        <w:wordWrap/>
        <w:overflowPunct/>
        <w:topLinePunct w:val="0"/>
        <w:bidi w:val="0"/>
        <w:snapToGrid w:val="0"/>
        <w:spacing w:line="500" w:lineRule="exact"/>
        <w:ind w:firstLine="420" w:firstLineChars="200"/>
        <w:textAlignment w:val="auto"/>
        <w:rPr>
          <w:rFonts w:ascii="宋体" w:hAnsi="宋体"/>
          <w:szCs w:val="21"/>
        </w:rPr>
      </w:pPr>
      <w:r>
        <w:rPr>
          <w:rFonts w:hint="eastAsia" w:ascii="宋体" w:hAnsi="宋体"/>
          <w:szCs w:val="21"/>
        </w:rPr>
        <w:t>若我公司拟派本项目的项目经理有在其他项目任职的情形的（或有在其他项目中标或拟中标的情形的），应在收到中标通知书后</w:t>
      </w:r>
      <w:r>
        <w:rPr>
          <w:rFonts w:hint="eastAsia" w:ascii="宋体" w:hAnsi="宋体"/>
          <w:szCs w:val="21"/>
          <w:u w:val="single"/>
        </w:rPr>
        <w:t xml:space="preserve"> 14 </w:t>
      </w:r>
      <w:r>
        <w:rPr>
          <w:rFonts w:hint="eastAsia" w:ascii="宋体" w:hAnsi="宋体"/>
          <w:szCs w:val="21"/>
        </w:rPr>
        <w:t>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pPr>
        <w:keepNext w:val="0"/>
        <w:keepLines w:val="0"/>
        <w:pageBreakBefore w:val="0"/>
        <w:widowControl w:val="0"/>
        <w:kinsoku/>
        <w:wordWrap/>
        <w:overflowPunct/>
        <w:topLinePunct w:val="0"/>
        <w:bidi w:val="0"/>
        <w:snapToGrid w:val="0"/>
        <w:spacing w:line="500" w:lineRule="exact"/>
        <w:ind w:firstLine="420" w:firstLineChars="200"/>
        <w:textAlignment w:val="auto"/>
        <w:rPr>
          <w:rFonts w:ascii="宋体" w:hAnsi="宋体"/>
          <w:szCs w:val="21"/>
        </w:rPr>
      </w:pPr>
      <w:r>
        <w:rPr>
          <w:rFonts w:hint="eastAsia" w:ascii="宋体" w:hAnsi="宋体"/>
          <w:szCs w:val="21"/>
        </w:rPr>
        <w:t>若我公司拟派项目经理放弃在其他项目任职的将提供：①经业主或建设单位同意任职变更的文件；②负责项目监管的行业行政主管部门出具同意任职变更的证明材料。</w:t>
      </w:r>
    </w:p>
    <w:p>
      <w:pPr>
        <w:keepNext w:val="0"/>
        <w:keepLines w:val="0"/>
        <w:pageBreakBefore w:val="0"/>
        <w:widowControl w:val="0"/>
        <w:kinsoku/>
        <w:wordWrap/>
        <w:overflowPunct/>
        <w:topLinePunct w:val="0"/>
        <w:bidi w:val="0"/>
        <w:snapToGrid w:val="0"/>
        <w:spacing w:line="500" w:lineRule="exact"/>
        <w:ind w:firstLine="420" w:firstLineChars="200"/>
        <w:textAlignment w:val="auto"/>
        <w:rPr>
          <w:rFonts w:ascii="宋体" w:hAnsi="宋体"/>
          <w:szCs w:val="21"/>
        </w:rPr>
      </w:pPr>
      <w:r>
        <w:rPr>
          <w:rFonts w:hint="eastAsia" w:ascii="宋体" w:hAnsi="宋体"/>
          <w:szCs w:val="21"/>
        </w:rPr>
        <w:t>若我公司拟派项目经理放弃在其他项目中标或拟中标的将提供：①经中标或拟中标的其他项目建设单位同意的放弃中标函。</w:t>
      </w:r>
    </w:p>
    <w:p>
      <w:pPr>
        <w:keepNext w:val="0"/>
        <w:keepLines w:val="0"/>
        <w:pageBreakBefore w:val="0"/>
        <w:widowControl w:val="0"/>
        <w:kinsoku/>
        <w:wordWrap/>
        <w:overflowPunct/>
        <w:topLinePunct w:val="0"/>
        <w:bidi w:val="0"/>
        <w:snapToGrid w:val="0"/>
        <w:spacing w:line="500" w:lineRule="exact"/>
        <w:ind w:firstLine="420" w:firstLineChars="200"/>
        <w:textAlignment w:val="auto"/>
        <w:rPr>
          <w:rFonts w:ascii="宋体" w:hAnsi="宋体"/>
          <w:szCs w:val="21"/>
        </w:rPr>
      </w:pPr>
      <w:r>
        <w:rPr>
          <w:rFonts w:hint="eastAsia" w:ascii="宋体" w:hAnsi="宋体"/>
          <w:szCs w:val="21"/>
        </w:rPr>
        <w:t>3、我公司若中标，在签订合同之前，将按照建设行政主管部门的要求组建施工项目部，配置项目管理班子，出具任命文件。任命文件应当明确施工项目部的职责、岗位设置、人员配备，并书面通知招标人。相关岗位管理人员应持有建设行政主管部门要求的岗位证书，并提供我公司为其缴纳的养老保险证明材料。中标后不能满足该要求的，取消我公司中标资格，给招标人造成损失的，我公司依法承担违约赔偿责任。</w:t>
      </w:r>
    </w:p>
    <w:p>
      <w:pPr>
        <w:keepNext w:val="0"/>
        <w:keepLines w:val="0"/>
        <w:pageBreakBefore w:val="0"/>
        <w:widowControl w:val="0"/>
        <w:kinsoku/>
        <w:wordWrap/>
        <w:overflowPunct/>
        <w:topLinePunct w:val="0"/>
        <w:bidi w:val="0"/>
        <w:snapToGrid w:val="0"/>
        <w:spacing w:line="500" w:lineRule="exact"/>
        <w:ind w:firstLine="420" w:firstLineChars="200"/>
        <w:textAlignment w:val="auto"/>
        <w:rPr>
          <w:rFonts w:ascii="宋体" w:hAnsi="宋体"/>
          <w:szCs w:val="21"/>
        </w:rPr>
      </w:pPr>
      <w:r>
        <w:rPr>
          <w:rFonts w:hint="eastAsia" w:ascii="宋体" w:hAnsi="宋体"/>
          <w:szCs w:val="21"/>
        </w:rPr>
        <w:t>4、我公司在资格审查部分中提供的相关证明材料真实有效，不存在弄虚作假情形。招标人在合同签订前均有权对我司提供的资料进行核实，若发现弄虚作假，取消中标资格，并按相关法律法规报招标投标监督部门处理，投标保证金不予退还，我司自愿承担因此造成的相关责任并赔偿相应损失。</w:t>
      </w:r>
    </w:p>
    <w:p>
      <w:pPr>
        <w:keepNext w:val="0"/>
        <w:keepLines w:val="0"/>
        <w:pageBreakBefore w:val="0"/>
        <w:widowControl w:val="0"/>
        <w:kinsoku/>
        <w:wordWrap/>
        <w:overflowPunct/>
        <w:topLinePunct w:val="0"/>
        <w:bidi w:val="0"/>
        <w:snapToGrid w:val="0"/>
        <w:spacing w:line="500" w:lineRule="exact"/>
        <w:ind w:firstLine="420" w:firstLineChars="200"/>
        <w:textAlignment w:val="auto"/>
        <w:rPr>
          <w:rFonts w:ascii="宋体" w:hAnsi="宋体"/>
          <w:szCs w:val="21"/>
        </w:rPr>
      </w:pPr>
      <w:r>
        <w:rPr>
          <w:rFonts w:hint="eastAsia" w:ascii="宋体" w:hAnsi="宋体"/>
          <w:szCs w:val="21"/>
        </w:rPr>
        <w:t>5、我公司不存在第二章 投标人须知第 1.4.3 项规定的任何一种情形。</w:t>
      </w:r>
    </w:p>
    <w:p>
      <w:pPr>
        <w:keepNext w:val="0"/>
        <w:keepLines w:val="0"/>
        <w:pageBreakBefore w:val="0"/>
        <w:widowControl w:val="0"/>
        <w:kinsoku/>
        <w:wordWrap/>
        <w:overflowPunct/>
        <w:topLinePunct w:val="0"/>
        <w:bidi w:val="0"/>
        <w:snapToGrid w:val="0"/>
        <w:spacing w:line="500" w:lineRule="exact"/>
        <w:ind w:firstLine="420" w:firstLineChars="200"/>
        <w:textAlignment w:val="auto"/>
        <w:rPr>
          <w:rFonts w:ascii="宋体" w:hAnsi="宋体"/>
          <w:szCs w:val="21"/>
        </w:rPr>
      </w:pPr>
      <w:r>
        <w:rPr>
          <w:rFonts w:hint="eastAsia" w:ascii="宋体" w:hAnsi="宋体"/>
          <w:szCs w:val="21"/>
        </w:rPr>
        <w:t>6、我公司的投标文件符合第二章 投标人须知第 1.3.1 项的规定。</w:t>
      </w:r>
    </w:p>
    <w:p>
      <w:pPr>
        <w:keepNext w:val="0"/>
        <w:keepLines w:val="0"/>
        <w:pageBreakBefore w:val="0"/>
        <w:widowControl w:val="0"/>
        <w:kinsoku/>
        <w:wordWrap/>
        <w:overflowPunct/>
        <w:topLinePunct w:val="0"/>
        <w:bidi w:val="0"/>
        <w:snapToGrid w:val="0"/>
        <w:spacing w:line="500" w:lineRule="exact"/>
        <w:ind w:firstLine="420" w:firstLineChars="200"/>
        <w:textAlignment w:val="auto"/>
        <w:rPr>
          <w:rFonts w:ascii="宋体" w:hAnsi="宋体"/>
          <w:szCs w:val="21"/>
        </w:rPr>
      </w:pPr>
      <w:r>
        <w:rPr>
          <w:rFonts w:hint="eastAsia" w:ascii="宋体" w:hAnsi="宋体"/>
          <w:szCs w:val="21"/>
        </w:rPr>
        <w:t>7、我公司的投标文件符合第四章 合同条款及格式规定，投标文件中没有招标人不能接受的条件。</w:t>
      </w:r>
    </w:p>
    <w:p>
      <w:pPr>
        <w:keepNext w:val="0"/>
        <w:keepLines w:val="0"/>
        <w:pageBreakBefore w:val="0"/>
        <w:widowControl w:val="0"/>
        <w:kinsoku/>
        <w:wordWrap/>
        <w:overflowPunct/>
        <w:topLinePunct w:val="0"/>
        <w:bidi w:val="0"/>
        <w:snapToGrid w:val="0"/>
        <w:spacing w:line="500" w:lineRule="exact"/>
        <w:ind w:firstLine="420" w:firstLineChars="200"/>
        <w:textAlignment w:val="auto"/>
        <w:rPr>
          <w:rFonts w:ascii="宋体" w:hAnsi="宋体"/>
          <w:szCs w:val="21"/>
        </w:rPr>
      </w:pPr>
      <w:r>
        <w:rPr>
          <w:rFonts w:hint="eastAsia" w:ascii="宋体" w:hAnsi="宋体"/>
          <w:szCs w:val="21"/>
        </w:rPr>
        <w:t>8、我公司的投标文件符合第七章 技术标准和要求（如有）。</w:t>
      </w:r>
    </w:p>
    <w:p>
      <w:pPr>
        <w:keepNext w:val="0"/>
        <w:keepLines w:val="0"/>
        <w:pageBreakBefore w:val="0"/>
        <w:widowControl w:val="0"/>
        <w:kinsoku/>
        <w:wordWrap/>
        <w:overflowPunct/>
        <w:topLinePunct w:val="0"/>
        <w:bidi w:val="0"/>
        <w:snapToGrid w:val="0"/>
        <w:spacing w:line="500" w:lineRule="exact"/>
        <w:ind w:firstLine="420" w:firstLineChars="200"/>
        <w:textAlignment w:val="auto"/>
        <w:rPr>
          <w:rFonts w:ascii="宋体" w:hAnsi="宋体"/>
          <w:szCs w:val="21"/>
        </w:rPr>
      </w:pP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500" w:lineRule="exact"/>
        <w:ind w:firstLine="420" w:firstLineChars="200"/>
        <w:jc w:val="left"/>
        <w:textAlignment w:val="auto"/>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keepNext w:val="0"/>
        <w:keepLines w:val="0"/>
        <w:pageBreakBefore w:val="0"/>
        <w:widowControl w:val="0"/>
        <w:tabs>
          <w:tab w:val="left" w:pos="6300"/>
        </w:tabs>
        <w:kinsoku/>
        <w:wordWrap/>
        <w:overflowPunct/>
        <w:topLinePunct w:val="0"/>
        <w:autoSpaceDE w:val="0"/>
        <w:autoSpaceDN w:val="0"/>
        <w:bidi w:val="0"/>
        <w:adjustRightInd w:val="0"/>
        <w:snapToGrid w:val="0"/>
        <w:spacing w:line="500" w:lineRule="exact"/>
        <w:ind w:firstLine="420" w:firstLineChars="200"/>
        <w:jc w:val="left"/>
        <w:textAlignment w:val="auto"/>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keepNext w:val="0"/>
        <w:keepLines w:val="0"/>
        <w:pageBreakBefore w:val="0"/>
        <w:widowControl w:val="0"/>
        <w:kinsoku/>
        <w:wordWrap/>
        <w:overflowPunct/>
        <w:topLinePunct w:val="0"/>
        <w:bidi w:val="0"/>
        <w:snapToGrid w:val="0"/>
        <w:spacing w:line="500" w:lineRule="exact"/>
        <w:ind w:firstLine="420" w:firstLineChars="200"/>
        <w:jc w:val="right"/>
        <w:textAlignment w:val="auto"/>
        <w:rPr>
          <w:rFonts w:ascii="宋体" w:hAnsi="宋体"/>
          <w:szCs w:val="21"/>
        </w:rPr>
      </w:pPr>
      <w:r>
        <w:rPr>
          <w:rFonts w:hint="eastAsia" w:ascii="宋体" w:hAnsi="宋体"/>
          <w:kern w:val="0"/>
          <w:szCs w:val="21"/>
          <w:u w:val="single"/>
        </w:rPr>
        <w:t xml:space="preserve">    </w:t>
      </w:r>
      <w:r>
        <w:rPr>
          <w:rFonts w:hint="eastAsia" w:ascii="宋体" w:hAnsi="宋体"/>
          <w:kern w:val="0"/>
          <w:szCs w:val="21"/>
          <w:u w:val="single"/>
          <w:lang w:val="en-US" w:eastAsia="zh-CN"/>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keepNext w:val="0"/>
        <w:keepLines w:val="0"/>
        <w:pageBreakBefore w:val="0"/>
        <w:widowControl w:val="0"/>
        <w:kinsoku/>
        <w:wordWrap/>
        <w:overflowPunct/>
        <w:topLinePunct w:val="0"/>
        <w:bidi w:val="0"/>
        <w:spacing w:line="500" w:lineRule="exact"/>
        <w:textAlignment w:val="auto"/>
      </w:pPr>
    </w:p>
    <w:p>
      <w:pPr>
        <w:keepNext w:val="0"/>
        <w:keepLines w:val="0"/>
        <w:pageBreakBefore w:val="0"/>
        <w:widowControl w:val="0"/>
        <w:kinsoku/>
        <w:wordWrap/>
        <w:overflowPunct/>
        <w:topLinePunct w:val="0"/>
        <w:bidi w:val="0"/>
        <w:spacing w:line="500" w:lineRule="exact"/>
        <w:jc w:val="center"/>
        <w:textAlignment w:val="auto"/>
        <w:rPr>
          <w:rFonts w:ascii="宋体" w:hAnsi="宋体" w:eastAsia="宋体" w:cs="Times New Roman"/>
          <w:b w:val="0"/>
          <w:bCs/>
          <w:kern w:val="2"/>
          <w:sz w:val="32"/>
          <w:szCs w:val="32"/>
          <w:lang w:val="en-US" w:eastAsia="zh-CN" w:bidi="ar-SA"/>
        </w:rPr>
      </w:pPr>
      <w:r>
        <w:br w:type="page"/>
      </w:r>
    </w:p>
    <w:p>
      <w:pPr>
        <w:jc w:val="center"/>
        <w:rPr>
          <w:rFonts w:hint="eastAsia" w:ascii="宋体" w:hAnsi="宋体" w:eastAsia="宋体" w:cs="Times New Roman"/>
          <w:b w:val="0"/>
          <w:bCs/>
          <w:kern w:val="2"/>
          <w:sz w:val="32"/>
          <w:szCs w:val="32"/>
          <w:lang w:val="en-US" w:eastAsia="zh-CN" w:bidi="ar-SA"/>
        </w:rPr>
      </w:pPr>
      <w:bookmarkStart w:id="638" w:name="_Toc24788"/>
      <w:bookmarkStart w:id="639" w:name="_Toc14813"/>
      <w:r>
        <w:rPr>
          <w:rFonts w:hint="eastAsia" w:ascii="宋体" w:hAnsi="宋体" w:eastAsia="宋体" w:cs="Times New Roman"/>
          <w:b w:val="0"/>
          <w:bCs/>
          <w:kern w:val="2"/>
          <w:sz w:val="32"/>
          <w:szCs w:val="32"/>
          <w:lang w:val="en-US" w:eastAsia="zh-CN" w:bidi="ar-SA"/>
        </w:rPr>
        <w:t>（五）其他资料</w:t>
      </w:r>
      <w:bookmarkEnd w:id="638"/>
      <w:bookmarkEnd w:id="639"/>
    </w:p>
    <w:sectPr>
      <w:pgSz w:w="11906" w:h="16838"/>
      <w:pgMar w:top="1247" w:right="1133" w:bottom="1247" w:left="993"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仿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script"/>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hint="eastAsia"/>
        <w:lang w:val="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clear" w:pos="4153"/>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hint="eastAsia"/>
        <w:lang w:val="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5"/>
                            <w:rPr>
                              <w:rStyle w:val="57"/>
                            </w:rPr>
                          </w:pPr>
                          <w:r>
                            <w:fldChar w:fldCharType="begin"/>
                          </w:r>
                          <w:r>
                            <w:rPr>
                              <w:rStyle w:val="57"/>
                            </w:rPr>
                            <w:instrText xml:space="preserve">PAGE  </w:instrText>
                          </w:r>
                          <w:r>
                            <w:fldChar w:fldCharType="separate"/>
                          </w:r>
                          <w:r>
                            <w:rPr>
                              <w:rStyle w:val="57"/>
                            </w:rPr>
                            <w:t>2</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pPr>
                      <w:pStyle w:val="35"/>
                      <w:rPr>
                        <w:rStyle w:val="57"/>
                      </w:rPr>
                    </w:pPr>
                    <w:r>
                      <w:fldChar w:fldCharType="begin"/>
                    </w:r>
                    <w:r>
                      <w:rPr>
                        <w:rStyle w:val="57"/>
                      </w:rPr>
                      <w:instrText xml:space="preserve">PAGE  </w:instrText>
                    </w:r>
                    <w:r>
                      <w:fldChar w:fldCharType="separate"/>
                    </w:r>
                    <w:r>
                      <w:rPr>
                        <w:rStyle w:val="57"/>
                      </w:rP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Ux0jM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1THSM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29"/>
      <w:lvlText w:val="%1．"/>
      <w:lvlJc w:val="left"/>
      <w:pPr>
        <w:ind w:left="360" w:hanging="360"/>
      </w:pPr>
      <w:rPr>
        <w:rFonts w:hint="default"/>
      </w:rPr>
    </w:lvl>
    <w:lvl w:ilvl="1" w:tentative="0">
      <w:start w:val="1"/>
      <w:numFmt w:val="decimal"/>
      <w:lvlText w:val="2.%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3204" w:hanging="108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980" w:hanging="144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756" w:hanging="1800"/>
      </w:pPr>
      <w:rPr>
        <w:rFonts w:hint="default"/>
      </w:rPr>
    </w:lvl>
    <w:lvl w:ilvl="8" w:tentative="0">
      <w:start w:val="1"/>
      <w:numFmt w:val="decimal"/>
      <w:lvlText w:val="%1.%2.%3.%4.%5.%6.%7.%8.%9"/>
      <w:lvlJc w:val="left"/>
      <w:pPr>
        <w:ind w:left="7824" w:hanging="2160"/>
      </w:pPr>
      <w:rPr>
        <w:rFonts w:hint="default"/>
      </w:rPr>
    </w:lvl>
  </w:abstractNum>
  <w:abstractNum w:abstractNumId="1">
    <w:nsid w:val="00000003"/>
    <w:multiLevelType w:val="multilevel"/>
    <w:tmpl w:val="00000003"/>
    <w:lvl w:ilvl="0" w:tentative="0">
      <w:start w:val="1"/>
      <w:numFmt w:val="decimal"/>
      <w:lvlText w:val="%1．"/>
      <w:lvlJc w:val="left"/>
      <w:pPr>
        <w:ind w:left="360" w:hanging="360"/>
      </w:pPr>
      <w:rPr>
        <w:rFonts w:hint="default"/>
      </w:rPr>
    </w:lvl>
    <w:lvl w:ilvl="1" w:tentative="0">
      <w:start w:val="1"/>
      <w:numFmt w:val="decimal"/>
      <w:lvlText w:val="2.%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3204" w:hanging="108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980" w:hanging="144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756" w:hanging="1800"/>
      </w:pPr>
      <w:rPr>
        <w:rFonts w:hint="default"/>
      </w:rPr>
    </w:lvl>
    <w:lvl w:ilvl="8" w:tentative="0">
      <w:start w:val="1"/>
      <w:numFmt w:val="decimal"/>
      <w:lvlText w:val="%1.%2.%3.%4.%5.%6.%7.%8.%9"/>
      <w:lvlJc w:val="left"/>
      <w:pPr>
        <w:ind w:left="7824" w:hanging="2160"/>
      </w:pPr>
      <w:rPr>
        <w:rFonts w:hint="default"/>
      </w:rPr>
    </w:lvl>
  </w:abstractNum>
  <w:abstractNum w:abstractNumId="2">
    <w:nsid w:val="00000005"/>
    <w:multiLevelType w:val="multilevel"/>
    <w:tmpl w:val="00000005"/>
    <w:lvl w:ilvl="0" w:tentative="0">
      <w:start w:val="1"/>
      <w:numFmt w:val="decimal"/>
      <w:pStyle w:val="16"/>
      <w:lvlText w:val="%1."/>
      <w:lvlJc w:val="left"/>
      <w:pPr>
        <w:ind w:left="780" w:hanging="360"/>
      </w:pPr>
      <w:rPr>
        <w:rFonts w:hint="default"/>
        <w:color w:val="auto"/>
      </w:rPr>
    </w:lvl>
    <w:lvl w:ilvl="1" w:tentative="0">
      <w:start w:val="1"/>
      <w:numFmt w:val="lowerLetter"/>
      <w:lvlText w:val="%2)"/>
      <w:lvlJc w:val="left"/>
      <w:pPr>
        <w:ind w:left="1138" w:hanging="420"/>
      </w:pPr>
    </w:lvl>
    <w:lvl w:ilvl="2" w:tentative="0">
      <w:start w:val="1"/>
      <w:numFmt w:val="lowerRoman"/>
      <w:lvlText w:val="%3."/>
      <w:lvlJc w:val="right"/>
      <w:pPr>
        <w:ind w:left="1558" w:hanging="420"/>
      </w:pPr>
    </w:lvl>
    <w:lvl w:ilvl="3" w:tentative="0">
      <w:start w:val="1"/>
      <w:numFmt w:val="decimal"/>
      <w:lvlText w:val="%4."/>
      <w:lvlJc w:val="left"/>
      <w:pPr>
        <w:ind w:left="1978" w:hanging="420"/>
      </w:pPr>
    </w:lvl>
    <w:lvl w:ilvl="4" w:tentative="0">
      <w:start w:val="1"/>
      <w:numFmt w:val="lowerLetter"/>
      <w:lvlText w:val="%5)"/>
      <w:lvlJc w:val="left"/>
      <w:pPr>
        <w:ind w:left="2398" w:hanging="420"/>
      </w:pPr>
    </w:lvl>
    <w:lvl w:ilvl="5" w:tentative="0">
      <w:start w:val="1"/>
      <w:numFmt w:val="lowerRoman"/>
      <w:lvlText w:val="%6."/>
      <w:lvlJc w:val="right"/>
      <w:pPr>
        <w:ind w:left="2818" w:hanging="420"/>
      </w:pPr>
    </w:lvl>
    <w:lvl w:ilvl="6" w:tentative="0">
      <w:start w:val="1"/>
      <w:numFmt w:val="decimal"/>
      <w:lvlText w:val="%7."/>
      <w:lvlJc w:val="left"/>
      <w:pPr>
        <w:ind w:left="3238" w:hanging="420"/>
      </w:pPr>
    </w:lvl>
    <w:lvl w:ilvl="7" w:tentative="0">
      <w:start w:val="1"/>
      <w:numFmt w:val="lowerLetter"/>
      <w:lvlText w:val="%8)"/>
      <w:lvlJc w:val="left"/>
      <w:pPr>
        <w:ind w:left="3658" w:hanging="420"/>
      </w:pPr>
    </w:lvl>
    <w:lvl w:ilvl="8" w:tentative="0">
      <w:start w:val="1"/>
      <w:numFmt w:val="lowerRoman"/>
      <w:lvlText w:val="%9."/>
      <w:lvlJc w:val="right"/>
      <w:pPr>
        <w:ind w:left="4078" w:hanging="420"/>
      </w:pPr>
    </w:lvl>
  </w:abstractNum>
  <w:abstractNum w:abstractNumId="3">
    <w:nsid w:val="00000006"/>
    <w:multiLevelType w:val="multilevel"/>
    <w:tmpl w:val="00000006"/>
    <w:lvl w:ilvl="0" w:tentative="0">
      <w:start w:val="1"/>
      <w:numFmt w:val="decimal"/>
      <w:lvlText w:val="%1．"/>
      <w:lvlJc w:val="left"/>
      <w:pPr>
        <w:ind w:left="360" w:hanging="360"/>
      </w:pPr>
      <w:rPr>
        <w:rFonts w:hint="default"/>
      </w:rPr>
    </w:lvl>
    <w:lvl w:ilvl="1" w:tentative="0">
      <w:start w:val="1"/>
      <w:numFmt w:val="decimal"/>
      <w:lvlText w:val="%1.%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3204" w:hanging="108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980" w:hanging="144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756" w:hanging="1800"/>
      </w:pPr>
      <w:rPr>
        <w:rFonts w:hint="default"/>
      </w:rPr>
    </w:lvl>
    <w:lvl w:ilvl="8" w:tentative="0">
      <w:start w:val="1"/>
      <w:numFmt w:val="decimal"/>
      <w:lvlText w:val="%1.%2.%3.%4.%5.%6.%7.%8.%9"/>
      <w:lvlJc w:val="left"/>
      <w:pPr>
        <w:ind w:left="7824" w:hanging="2160"/>
      </w:pPr>
      <w:rPr>
        <w:rFonts w:hint="default"/>
      </w:rPr>
    </w:lvl>
  </w:abstractNum>
  <w:abstractNum w:abstractNumId="4">
    <w:nsid w:val="0000000D"/>
    <w:multiLevelType w:val="multilevel"/>
    <w:tmpl w:val="0000000D"/>
    <w:lvl w:ilvl="0" w:tentative="0">
      <w:start w:val="1"/>
      <w:numFmt w:val="decimal"/>
      <w:pStyle w:val="24"/>
      <w:lvlText w:val="%1．"/>
      <w:lvlJc w:val="left"/>
      <w:pPr>
        <w:ind w:left="360" w:hanging="360"/>
      </w:pPr>
      <w:rPr>
        <w:rFonts w:hint="default"/>
      </w:rPr>
    </w:lvl>
    <w:lvl w:ilvl="1" w:tentative="0">
      <w:start w:val="1"/>
      <w:numFmt w:val="decimal"/>
      <w:lvlText w:val="%1.%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3204" w:hanging="108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980" w:hanging="144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756" w:hanging="1800"/>
      </w:pPr>
      <w:rPr>
        <w:rFonts w:hint="default"/>
      </w:rPr>
    </w:lvl>
    <w:lvl w:ilvl="8" w:tentative="0">
      <w:start w:val="1"/>
      <w:numFmt w:val="decimal"/>
      <w:lvlText w:val="%1.%2.%3.%4.%5.%6.%7.%8.%9"/>
      <w:lvlJc w:val="left"/>
      <w:pPr>
        <w:ind w:left="7824" w:hanging="2160"/>
      </w:pPr>
      <w:rPr>
        <w:rFonts w:hint="default"/>
      </w:rPr>
    </w:lvl>
  </w:abstractNum>
  <w:abstractNum w:abstractNumId="5">
    <w:nsid w:val="0000000F"/>
    <w:multiLevelType w:val="multilevel"/>
    <w:tmpl w:val="0000000F"/>
    <w:lvl w:ilvl="0" w:tentative="0">
      <w:start w:val="1"/>
      <w:numFmt w:val="bullet"/>
      <w:pStyle w:val="21"/>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11"/>
    <w:multiLevelType w:val="singleLevel"/>
    <w:tmpl w:val="00000011"/>
    <w:lvl w:ilvl="0" w:tentative="0">
      <w:start w:val="23"/>
      <w:numFmt w:val="decimal"/>
      <w:suff w:val="space"/>
      <w:lvlText w:val="%1."/>
      <w:lvlJc w:val="left"/>
    </w:lvl>
  </w:abstractNum>
  <w:abstractNum w:abstractNumId="7">
    <w:nsid w:val="00000013"/>
    <w:multiLevelType w:val="multilevel"/>
    <w:tmpl w:val="00000013"/>
    <w:lvl w:ilvl="0" w:tentative="0">
      <w:start w:val="1"/>
      <w:numFmt w:val="decimal"/>
      <w:pStyle w:val="17"/>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8">
    <w:nsid w:val="385A1603"/>
    <w:multiLevelType w:val="multilevel"/>
    <w:tmpl w:val="385A1603"/>
    <w:lvl w:ilvl="0" w:tentative="0">
      <w:start w:val="1"/>
      <w:numFmt w:val="decimal"/>
      <w:lvlText w:val="%1、"/>
      <w:lvlJc w:val="left"/>
      <w:pPr>
        <w:ind w:left="772" w:hanging="36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9">
    <w:nsid w:val="62782BA5"/>
    <w:multiLevelType w:val="singleLevel"/>
    <w:tmpl w:val="62782BA5"/>
    <w:lvl w:ilvl="0" w:tentative="0">
      <w:start w:val="2"/>
      <w:numFmt w:val="chineseCounting"/>
      <w:suff w:val="nothing"/>
      <w:lvlText w:val="（%1）"/>
      <w:lvlJc w:val="left"/>
      <w:rPr>
        <w:rFonts w:hint="eastAsia"/>
      </w:rPr>
    </w:lvl>
  </w:abstractNum>
  <w:num w:numId="1">
    <w:abstractNumId w:val="2"/>
  </w:num>
  <w:num w:numId="2">
    <w:abstractNumId w:val="7"/>
  </w:num>
  <w:num w:numId="3">
    <w:abstractNumId w:val="5"/>
  </w:num>
  <w:num w:numId="4">
    <w:abstractNumId w:val="4"/>
  </w:num>
  <w:num w:numId="5">
    <w:abstractNumId w:val="0"/>
  </w:num>
  <w:num w:numId="6">
    <w:abstractNumId w:val="8"/>
  </w:num>
  <w:num w:numId="7">
    <w:abstractNumId w:val="6"/>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MDVkNTM0ZDRiZGEyMGQ1YTI1MmJiZWIxY2RmZDUifQ=="/>
  </w:docVars>
  <w:rsids>
    <w:rsidRoot w:val="00172A27"/>
    <w:rsid w:val="000012C6"/>
    <w:rsid w:val="000024B8"/>
    <w:rsid w:val="00002964"/>
    <w:rsid w:val="00004BB6"/>
    <w:rsid w:val="00011081"/>
    <w:rsid w:val="00011C6E"/>
    <w:rsid w:val="00022741"/>
    <w:rsid w:val="000247D7"/>
    <w:rsid w:val="00024BD2"/>
    <w:rsid w:val="00026749"/>
    <w:rsid w:val="00027768"/>
    <w:rsid w:val="000310F6"/>
    <w:rsid w:val="00031B5C"/>
    <w:rsid w:val="00032215"/>
    <w:rsid w:val="0003391C"/>
    <w:rsid w:val="0003487F"/>
    <w:rsid w:val="00034C78"/>
    <w:rsid w:val="00040E38"/>
    <w:rsid w:val="00042B35"/>
    <w:rsid w:val="00044CED"/>
    <w:rsid w:val="00046D36"/>
    <w:rsid w:val="0005458D"/>
    <w:rsid w:val="000562BA"/>
    <w:rsid w:val="000564F5"/>
    <w:rsid w:val="0006429F"/>
    <w:rsid w:val="0006785E"/>
    <w:rsid w:val="00075E92"/>
    <w:rsid w:val="000769FD"/>
    <w:rsid w:val="00082AFE"/>
    <w:rsid w:val="00087B3D"/>
    <w:rsid w:val="00087C11"/>
    <w:rsid w:val="00091835"/>
    <w:rsid w:val="00091902"/>
    <w:rsid w:val="000971EF"/>
    <w:rsid w:val="000A1C86"/>
    <w:rsid w:val="000A1DA9"/>
    <w:rsid w:val="000A1F5A"/>
    <w:rsid w:val="000A38A5"/>
    <w:rsid w:val="000A3A3B"/>
    <w:rsid w:val="000A7168"/>
    <w:rsid w:val="000A7192"/>
    <w:rsid w:val="000A7C08"/>
    <w:rsid w:val="000B44ED"/>
    <w:rsid w:val="000B617A"/>
    <w:rsid w:val="000B7B16"/>
    <w:rsid w:val="000C47FC"/>
    <w:rsid w:val="000C49C2"/>
    <w:rsid w:val="000C755A"/>
    <w:rsid w:val="000C76CC"/>
    <w:rsid w:val="000D01B7"/>
    <w:rsid w:val="000D2E81"/>
    <w:rsid w:val="000D3342"/>
    <w:rsid w:val="000D4FF8"/>
    <w:rsid w:val="000D5EA1"/>
    <w:rsid w:val="000E116D"/>
    <w:rsid w:val="000E74AB"/>
    <w:rsid w:val="000F243E"/>
    <w:rsid w:val="000F78E0"/>
    <w:rsid w:val="001019A2"/>
    <w:rsid w:val="00102372"/>
    <w:rsid w:val="0010295B"/>
    <w:rsid w:val="00105A20"/>
    <w:rsid w:val="00106705"/>
    <w:rsid w:val="00111236"/>
    <w:rsid w:val="00111D0E"/>
    <w:rsid w:val="00113F33"/>
    <w:rsid w:val="00114B85"/>
    <w:rsid w:val="00122017"/>
    <w:rsid w:val="00123DEA"/>
    <w:rsid w:val="001325C8"/>
    <w:rsid w:val="0013407F"/>
    <w:rsid w:val="00137443"/>
    <w:rsid w:val="00140F79"/>
    <w:rsid w:val="00141B98"/>
    <w:rsid w:val="00142213"/>
    <w:rsid w:val="00142B76"/>
    <w:rsid w:val="0016051A"/>
    <w:rsid w:val="00163378"/>
    <w:rsid w:val="00165191"/>
    <w:rsid w:val="00166A28"/>
    <w:rsid w:val="00171A18"/>
    <w:rsid w:val="00175569"/>
    <w:rsid w:val="0017614B"/>
    <w:rsid w:val="00176DAC"/>
    <w:rsid w:val="00182340"/>
    <w:rsid w:val="00182C69"/>
    <w:rsid w:val="00186706"/>
    <w:rsid w:val="00193C2E"/>
    <w:rsid w:val="00193C36"/>
    <w:rsid w:val="00194997"/>
    <w:rsid w:val="001971FD"/>
    <w:rsid w:val="0019742B"/>
    <w:rsid w:val="001A1EE8"/>
    <w:rsid w:val="001A3692"/>
    <w:rsid w:val="001A43F2"/>
    <w:rsid w:val="001A4570"/>
    <w:rsid w:val="001A4729"/>
    <w:rsid w:val="001A636E"/>
    <w:rsid w:val="001A6745"/>
    <w:rsid w:val="001B0BF4"/>
    <w:rsid w:val="001B1801"/>
    <w:rsid w:val="001B3873"/>
    <w:rsid w:val="001B4785"/>
    <w:rsid w:val="001B536F"/>
    <w:rsid w:val="001B5C52"/>
    <w:rsid w:val="001C0D08"/>
    <w:rsid w:val="001C1CD7"/>
    <w:rsid w:val="001C1FF1"/>
    <w:rsid w:val="001C519C"/>
    <w:rsid w:val="001C56E5"/>
    <w:rsid w:val="001D0489"/>
    <w:rsid w:val="001D4556"/>
    <w:rsid w:val="001E0214"/>
    <w:rsid w:val="001E6F0F"/>
    <w:rsid w:val="001F2690"/>
    <w:rsid w:val="001F4D77"/>
    <w:rsid w:val="002005E9"/>
    <w:rsid w:val="002009F9"/>
    <w:rsid w:val="00203332"/>
    <w:rsid w:val="002034D0"/>
    <w:rsid w:val="002048FE"/>
    <w:rsid w:val="00211991"/>
    <w:rsid w:val="0021546E"/>
    <w:rsid w:val="00220081"/>
    <w:rsid w:val="00222850"/>
    <w:rsid w:val="00223C87"/>
    <w:rsid w:val="0022772C"/>
    <w:rsid w:val="002307A4"/>
    <w:rsid w:val="00230E70"/>
    <w:rsid w:val="00234867"/>
    <w:rsid w:val="00240B0B"/>
    <w:rsid w:val="00240DE6"/>
    <w:rsid w:val="00241038"/>
    <w:rsid w:val="00241E6D"/>
    <w:rsid w:val="002424C0"/>
    <w:rsid w:val="00243814"/>
    <w:rsid w:val="002505DB"/>
    <w:rsid w:val="00250FB9"/>
    <w:rsid w:val="00253AB8"/>
    <w:rsid w:val="002642C9"/>
    <w:rsid w:val="00272233"/>
    <w:rsid w:val="00276283"/>
    <w:rsid w:val="00280EEF"/>
    <w:rsid w:val="0028143E"/>
    <w:rsid w:val="002836B2"/>
    <w:rsid w:val="00283BB0"/>
    <w:rsid w:val="00283F39"/>
    <w:rsid w:val="00284593"/>
    <w:rsid w:val="00287DB5"/>
    <w:rsid w:val="00291ECD"/>
    <w:rsid w:val="00292B43"/>
    <w:rsid w:val="002944F1"/>
    <w:rsid w:val="002950EA"/>
    <w:rsid w:val="002957F3"/>
    <w:rsid w:val="002A0AD8"/>
    <w:rsid w:val="002A0D62"/>
    <w:rsid w:val="002A21B7"/>
    <w:rsid w:val="002B49DE"/>
    <w:rsid w:val="002B5CAA"/>
    <w:rsid w:val="002B621A"/>
    <w:rsid w:val="002C2701"/>
    <w:rsid w:val="002D28CD"/>
    <w:rsid w:val="002D4406"/>
    <w:rsid w:val="002D5D73"/>
    <w:rsid w:val="002E3A6D"/>
    <w:rsid w:val="002E3E57"/>
    <w:rsid w:val="002E6DFE"/>
    <w:rsid w:val="002E76C6"/>
    <w:rsid w:val="002F10F4"/>
    <w:rsid w:val="002F3179"/>
    <w:rsid w:val="002F389F"/>
    <w:rsid w:val="002F3E46"/>
    <w:rsid w:val="002F4CF5"/>
    <w:rsid w:val="00300906"/>
    <w:rsid w:val="00300F91"/>
    <w:rsid w:val="00302C03"/>
    <w:rsid w:val="00303655"/>
    <w:rsid w:val="0030502C"/>
    <w:rsid w:val="0030509A"/>
    <w:rsid w:val="003108F4"/>
    <w:rsid w:val="0031175B"/>
    <w:rsid w:val="00311F78"/>
    <w:rsid w:val="0031210A"/>
    <w:rsid w:val="00314885"/>
    <w:rsid w:val="00315F2F"/>
    <w:rsid w:val="003170BD"/>
    <w:rsid w:val="00320CB7"/>
    <w:rsid w:val="00320F53"/>
    <w:rsid w:val="00335827"/>
    <w:rsid w:val="0034335F"/>
    <w:rsid w:val="00343EB2"/>
    <w:rsid w:val="00346B13"/>
    <w:rsid w:val="00353AFD"/>
    <w:rsid w:val="0035591A"/>
    <w:rsid w:val="00356140"/>
    <w:rsid w:val="00357BFB"/>
    <w:rsid w:val="00365107"/>
    <w:rsid w:val="00366E0C"/>
    <w:rsid w:val="003707CD"/>
    <w:rsid w:val="00373B1B"/>
    <w:rsid w:val="003743B7"/>
    <w:rsid w:val="00375064"/>
    <w:rsid w:val="00386DD1"/>
    <w:rsid w:val="00387B3E"/>
    <w:rsid w:val="00394266"/>
    <w:rsid w:val="0039679F"/>
    <w:rsid w:val="00397DA7"/>
    <w:rsid w:val="003A0935"/>
    <w:rsid w:val="003A263D"/>
    <w:rsid w:val="003A3BC0"/>
    <w:rsid w:val="003A50BA"/>
    <w:rsid w:val="003A6008"/>
    <w:rsid w:val="003B3F0E"/>
    <w:rsid w:val="003B6379"/>
    <w:rsid w:val="003C0C60"/>
    <w:rsid w:val="003C0DD3"/>
    <w:rsid w:val="003C450D"/>
    <w:rsid w:val="003C615F"/>
    <w:rsid w:val="003C6D22"/>
    <w:rsid w:val="003D0B88"/>
    <w:rsid w:val="003D235A"/>
    <w:rsid w:val="003D5290"/>
    <w:rsid w:val="003D670F"/>
    <w:rsid w:val="003D7B67"/>
    <w:rsid w:val="003D7B91"/>
    <w:rsid w:val="003E10F8"/>
    <w:rsid w:val="003E4607"/>
    <w:rsid w:val="003E5243"/>
    <w:rsid w:val="003F15AB"/>
    <w:rsid w:val="003F2EE6"/>
    <w:rsid w:val="00400248"/>
    <w:rsid w:val="004033FE"/>
    <w:rsid w:val="00405CEC"/>
    <w:rsid w:val="0041122B"/>
    <w:rsid w:val="00411C17"/>
    <w:rsid w:val="00413151"/>
    <w:rsid w:val="004148D5"/>
    <w:rsid w:val="004165F1"/>
    <w:rsid w:val="00417312"/>
    <w:rsid w:val="004200F8"/>
    <w:rsid w:val="004249D6"/>
    <w:rsid w:val="00430BA0"/>
    <w:rsid w:val="004314FA"/>
    <w:rsid w:val="00435CF0"/>
    <w:rsid w:val="00442CAA"/>
    <w:rsid w:val="0044408B"/>
    <w:rsid w:val="0044746B"/>
    <w:rsid w:val="00453D6F"/>
    <w:rsid w:val="00454A09"/>
    <w:rsid w:val="00456CE2"/>
    <w:rsid w:val="0046272B"/>
    <w:rsid w:val="0046299C"/>
    <w:rsid w:val="004650DF"/>
    <w:rsid w:val="00470988"/>
    <w:rsid w:val="00471EBF"/>
    <w:rsid w:val="00474639"/>
    <w:rsid w:val="004761FC"/>
    <w:rsid w:val="00480ECC"/>
    <w:rsid w:val="0048166E"/>
    <w:rsid w:val="00481A60"/>
    <w:rsid w:val="00482A4D"/>
    <w:rsid w:val="00487B36"/>
    <w:rsid w:val="00495BBC"/>
    <w:rsid w:val="00496540"/>
    <w:rsid w:val="004A3566"/>
    <w:rsid w:val="004A3F4A"/>
    <w:rsid w:val="004A4D87"/>
    <w:rsid w:val="004A6275"/>
    <w:rsid w:val="004B2501"/>
    <w:rsid w:val="004C08CC"/>
    <w:rsid w:val="004C39F6"/>
    <w:rsid w:val="004C4525"/>
    <w:rsid w:val="004C56AD"/>
    <w:rsid w:val="004C655A"/>
    <w:rsid w:val="004D1785"/>
    <w:rsid w:val="004D4752"/>
    <w:rsid w:val="004D5D76"/>
    <w:rsid w:val="004D607A"/>
    <w:rsid w:val="004E20F3"/>
    <w:rsid w:val="004E4C28"/>
    <w:rsid w:val="004F02E7"/>
    <w:rsid w:val="004F2DBB"/>
    <w:rsid w:val="004F4256"/>
    <w:rsid w:val="004F4FBC"/>
    <w:rsid w:val="004F5429"/>
    <w:rsid w:val="004F7269"/>
    <w:rsid w:val="0050271A"/>
    <w:rsid w:val="00504A85"/>
    <w:rsid w:val="00505F56"/>
    <w:rsid w:val="005105A9"/>
    <w:rsid w:val="00511A94"/>
    <w:rsid w:val="0051619F"/>
    <w:rsid w:val="005213F7"/>
    <w:rsid w:val="00524548"/>
    <w:rsid w:val="00532564"/>
    <w:rsid w:val="00532F81"/>
    <w:rsid w:val="00533620"/>
    <w:rsid w:val="00535A77"/>
    <w:rsid w:val="00540787"/>
    <w:rsid w:val="00544998"/>
    <w:rsid w:val="00550293"/>
    <w:rsid w:val="00552EF9"/>
    <w:rsid w:val="0055620A"/>
    <w:rsid w:val="005609F8"/>
    <w:rsid w:val="0056105B"/>
    <w:rsid w:val="0056211A"/>
    <w:rsid w:val="0056738D"/>
    <w:rsid w:val="0057114C"/>
    <w:rsid w:val="00577510"/>
    <w:rsid w:val="00577E88"/>
    <w:rsid w:val="00581922"/>
    <w:rsid w:val="00586537"/>
    <w:rsid w:val="0058702A"/>
    <w:rsid w:val="005905D9"/>
    <w:rsid w:val="00591606"/>
    <w:rsid w:val="005918A3"/>
    <w:rsid w:val="005929C3"/>
    <w:rsid w:val="005A43BE"/>
    <w:rsid w:val="005A5255"/>
    <w:rsid w:val="005B1FD3"/>
    <w:rsid w:val="005C1B4F"/>
    <w:rsid w:val="005C216A"/>
    <w:rsid w:val="005C2FEF"/>
    <w:rsid w:val="005C74E1"/>
    <w:rsid w:val="005C7E8E"/>
    <w:rsid w:val="005D10B2"/>
    <w:rsid w:val="005D14F3"/>
    <w:rsid w:val="005E133F"/>
    <w:rsid w:val="005E1A98"/>
    <w:rsid w:val="005E3499"/>
    <w:rsid w:val="005F158A"/>
    <w:rsid w:val="005F2199"/>
    <w:rsid w:val="005F6044"/>
    <w:rsid w:val="00602C8F"/>
    <w:rsid w:val="00606309"/>
    <w:rsid w:val="006105F2"/>
    <w:rsid w:val="00611DAC"/>
    <w:rsid w:val="0061374C"/>
    <w:rsid w:val="00621D1B"/>
    <w:rsid w:val="00621EFE"/>
    <w:rsid w:val="006227A3"/>
    <w:rsid w:val="00623200"/>
    <w:rsid w:val="0062340D"/>
    <w:rsid w:val="00625288"/>
    <w:rsid w:val="00625DDA"/>
    <w:rsid w:val="006273F8"/>
    <w:rsid w:val="0063323C"/>
    <w:rsid w:val="00634DF1"/>
    <w:rsid w:val="00636C84"/>
    <w:rsid w:val="00640F9C"/>
    <w:rsid w:val="00642888"/>
    <w:rsid w:val="00643D73"/>
    <w:rsid w:val="00650DC3"/>
    <w:rsid w:val="0065117A"/>
    <w:rsid w:val="00651C8C"/>
    <w:rsid w:val="00652C51"/>
    <w:rsid w:val="0065409F"/>
    <w:rsid w:val="00654163"/>
    <w:rsid w:val="00655631"/>
    <w:rsid w:val="0066086D"/>
    <w:rsid w:val="00661D21"/>
    <w:rsid w:val="00667CEC"/>
    <w:rsid w:val="00673841"/>
    <w:rsid w:val="006771CD"/>
    <w:rsid w:val="00677ECE"/>
    <w:rsid w:val="00681C92"/>
    <w:rsid w:val="006826FC"/>
    <w:rsid w:val="00691433"/>
    <w:rsid w:val="00691CD6"/>
    <w:rsid w:val="00694E4E"/>
    <w:rsid w:val="0069695F"/>
    <w:rsid w:val="0069737F"/>
    <w:rsid w:val="006A2282"/>
    <w:rsid w:val="006A25D3"/>
    <w:rsid w:val="006A3611"/>
    <w:rsid w:val="006A50E8"/>
    <w:rsid w:val="006A60BA"/>
    <w:rsid w:val="006B6335"/>
    <w:rsid w:val="006C06E1"/>
    <w:rsid w:val="006C0836"/>
    <w:rsid w:val="006C0A33"/>
    <w:rsid w:val="006C444F"/>
    <w:rsid w:val="006C5F99"/>
    <w:rsid w:val="006C607F"/>
    <w:rsid w:val="006D130D"/>
    <w:rsid w:val="006D13D4"/>
    <w:rsid w:val="006D47FE"/>
    <w:rsid w:val="006E0433"/>
    <w:rsid w:val="006E1339"/>
    <w:rsid w:val="006E26B6"/>
    <w:rsid w:val="006F14C8"/>
    <w:rsid w:val="006F234F"/>
    <w:rsid w:val="006F2E9F"/>
    <w:rsid w:val="006F6001"/>
    <w:rsid w:val="006F7797"/>
    <w:rsid w:val="007004D7"/>
    <w:rsid w:val="007028CF"/>
    <w:rsid w:val="00703DC6"/>
    <w:rsid w:val="007052A4"/>
    <w:rsid w:val="00705F99"/>
    <w:rsid w:val="0071039E"/>
    <w:rsid w:val="00712558"/>
    <w:rsid w:val="00715F0B"/>
    <w:rsid w:val="007177D1"/>
    <w:rsid w:val="00721750"/>
    <w:rsid w:val="00721DD1"/>
    <w:rsid w:val="00722ABF"/>
    <w:rsid w:val="007231B2"/>
    <w:rsid w:val="00726E54"/>
    <w:rsid w:val="0073147D"/>
    <w:rsid w:val="0073425C"/>
    <w:rsid w:val="007461DA"/>
    <w:rsid w:val="007474AD"/>
    <w:rsid w:val="00747849"/>
    <w:rsid w:val="00750975"/>
    <w:rsid w:val="00757B3C"/>
    <w:rsid w:val="00757D7A"/>
    <w:rsid w:val="00760514"/>
    <w:rsid w:val="0078110B"/>
    <w:rsid w:val="0078231D"/>
    <w:rsid w:val="007835CA"/>
    <w:rsid w:val="00783810"/>
    <w:rsid w:val="007912C6"/>
    <w:rsid w:val="0079307C"/>
    <w:rsid w:val="00795BC9"/>
    <w:rsid w:val="00795C68"/>
    <w:rsid w:val="007A0262"/>
    <w:rsid w:val="007A12C4"/>
    <w:rsid w:val="007A2041"/>
    <w:rsid w:val="007A3626"/>
    <w:rsid w:val="007A3628"/>
    <w:rsid w:val="007A4267"/>
    <w:rsid w:val="007A58A7"/>
    <w:rsid w:val="007A5E37"/>
    <w:rsid w:val="007B2C31"/>
    <w:rsid w:val="007B7680"/>
    <w:rsid w:val="007C1E74"/>
    <w:rsid w:val="007C71A9"/>
    <w:rsid w:val="007D0656"/>
    <w:rsid w:val="007D16CF"/>
    <w:rsid w:val="007D62B8"/>
    <w:rsid w:val="007D79D9"/>
    <w:rsid w:val="007D7AD5"/>
    <w:rsid w:val="007E1A3D"/>
    <w:rsid w:val="007E4598"/>
    <w:rsid w:val="007F0315"/>
    <w:rsid w:val="007F1202"/>
    <w:rsid w:val="007F7F4A"/>
    <w:rsid w:val="00805029"/>
    <w:rsid w:val="00806352"/>
    <w:rsid w:val="008068CD"/>
    <w:rsid w:val="0081021C"/>
    <w:rsid w:val="00813E98"/>
    <w:rsid w:val="008207F3"/>
    <w:rsid w:val="0082105A"/>
    <w:rsid w:val="00822CD3"/>
    <w:rsid w:val="0082685C"/>
    <w:rsid w:val="00830B3F"/>
    <w:rsid w:val="00833AC0"/>
    <w:rsid w:val="008341E7"/>
    <w:rsid w:val="00837565"/>
    <w:rsid w:val="008404C6"/>
    <w:rsid w:val="00841C01"/>
    <w:rsid w:val="00842982"/>
    <w:rsid w:val="00845A21"/>
    <w:rsid w:val="00853B98"/>
    <w:rsid w:val="00855166"/>
    <w:rsid w:val="0085622E"/>
    <w:rsid w:val="008634C6"/>
    <w:rsid w:val="00863DB3"/>
    <w:rsid w:val="00871533"/>
    <w:rsid w:val="00874C7F"/>
    <w:rsid w:val="00875434"/>
    <w:rsid w:val="00880080"/>
    <w:rsid w:val="008819B7"/>
    <w:rsid w:val="008852DB"/>
    <w:rsid w:val="0088683F"/>
    <w:rsid w:val="0089342F"/>
    <w:rsid w:val="008A25D0"/>
    <w:rsid w:val="008A3076"/>
    <w:rsid w:val="008A3306"/>
    <w:rsid w:val="008A3791"/>
    <w:rsid w:val="008A3C7B"/>
    <w:rsid w:val="008A7390"/>
    <w:rsid w:val="008A797C"/>
    <w:rsid w:val="008A7B60"/>
    <w:rsid w:val="008B2718"/>
    <w:rsid w:val="008B3827"/>
    <w:rsid w:val="008B5C9A"/>
    <w:rsid w:val="008B65D3"/>
    <w:rsid w:val="008C2F34"/>
    <w:rsid w:val="008C38C8"/>
    <w:rsid w:val="008C4B4A"/>
    <w:rsid w:val="008D12F0"/>
    <w:rsid w:val="008D1EAF"/>
    <w:rsid w:val="008D4637"/>
    <w:rsid w:val="008D6BBD"/>
    <w:rsid w:val="008F0683"/>
    <w:rsid w:val="008F3D8C"/>
    <w:rsid w:val="008F3DBE"/>
    <w:rsid w:val="008F4A2D"/>
    <w:rsid w:val="008F4FBE"/>
    <w:rsid w:val="008F6BDD"/>
    <w:rsid w:val="009002B0"/>
    <w:rsid w:val="00901733"/>
    <w:rsid w:val="0090337F"/>
    <w:rsid w:val="00904B13"/>
    <w:rsid w:val="00907B5B"/>
    <w:rsid w:val="00913CB5"/>
    <w:rsid w:val="00915938"/>
    <w:rsid w:val="00916F33"/>
    <w:rsid w:val="009203E1"/>
    <w:rsid w:val="009314CC"/>
    <w:rsid w:val="00931AC1"/>
    <w:rsid w:val="00936281"/>
    <w:rsid w:val="00937EDB"/>
    <w:rsid w:val="00940CF5"/>
    <w:rsid w:val="00940D99"/>
    <w:rsid w:val="009412C8"/>
    <w:rsid w:val="00941FA8"/>
    <w:rsid w:val="00942915"/>
    <w:rsid w:val="0094332F"/>
    <w:rsid w:val="009439CB"/>
    <w:rsid w:val="00944FA3"/>
    <w:rsid w:val="00946E7C"/>
    <w:rsid w:val="00951044"/>
    <w:rsid w:val="00954F89"/>
    <w:rsid w:val="009617F5"/>
    <w:rsid w:val="009629FE"/>
    <w:rsid w:val="00964393"/>
    <w:rsid w:val="00964901"/>
    <w:rsid w:val="00965EC4"/>
    <w:rsid w:val="00967AD5"/>
    <w:rsid w:val="009726BF"/>
    <w:rsid w:val="00972C4E"/>
    <w:rsid w:val="00973CB9"/>
    <w:rsid w:val="00974464"/>
    <w:rsid w:val="0097553C"/>
    <w:rsid w:val="009771C6"/>
    <w:rsid w:val="0098607F"/>
    <w:rsid w:val="00987DD9"/>
    <w:rsid w:val="0099285A"/>
    <w:rsid w:val="00996471"/>
    <w:rsid w:val="009A0AA6"/>
    <w:rsid w:val="009A1AA0"/>
    <w:rsid w:val="009A2094"/>
    <w:rsid w:val="009A2F59"/>
    <w:rsid w:val="009A3EE5"/>
    <w:rsid w:val="009B02F0"/>
    <w:rsid w:val="009B0650"/>
    <w:rsid w:val="009B1282"/>
    <w:rsid w:val="009B4B73"/>
    <w:rsid w:val="009B4D94"/>
    <w:rsid w:val="009B5EE4"/>
    <w:rsid w:val="009B64DA"/>
    <w:rsid w:val="009B6F21"/>
    <w:rsid w:val="009C162A"/>
    <w:rsid w:val="009D0EEA"/>
    <w:rsid w:val="009D2546"/>
    <w:rsid w:val="009D3A25"/>
    <w:rsid w:val="009D3BAB"/>
    <w:rsid w:val="009D40C1"/>
    <w:rsid w:val="009D4B75"/>
    <w:rsid w:val="009D54CA"/>
    <w:rsid w:val="009D7A6B"/>
    <w:rsid w:val="009E3113"/>
    <w:rsid w:val="009E3AAA"/>
    <w:rsid w:val="009E729A"/>
    <w:rsid w:val="009F23CF"/>
    <w:rsid w:val="009F4AB7"/>
    <w:rsid w:val="009F4E28"/>
    <w:rsid w:val="00A002D7"/>
    <w:rsid w:val="00A06AAA"/>
    <w:rsid w:val="00A07487"/>
    <w:rsid w:val="00A11B6C"/>
    <w:rsid w:val="00A126D4"/>
    <w:rsid w:val="00A12797"/>
    <w:rsid w:val="00A13C80"/>
    <w:rsid w:val="00A1608A"/>
    <w:rsid w:val="00A17E81"/>
    <w:rsid w:val="00A255E8"/>
    <w:rsid w:val="00A35F6A"/>
    <w:rsid w:val="00A37DAE"/>
    <w:rsid w:val="00A405AC"/>
    <w:rsid w:val="00A44F1F"/>
    <w:rsid w:val="00A45B35"/>
    <w:rsid w:val="00A50FFE"/>
    <w:rsid w:val="00A52B99"/>
    <w:rsid w:val="00A53BDE"/>
    <w:rsid w:val="00A54172"/>
    <w:rsid w:val="00A5478F"/>
    <w:rsid w:val="00A618AB"/>
    <w:rsid w:val="00A6366C"/>
    <w:rsid w:val="00A7337B"/>
    <w:rsid w:val="00A73993"/>
    <w:rsid w:val="00A76CE7"/>
    <w:rsid w:val="00A80B26"/>
    <w:rsid w:val="00A84ED9"/>
    <w:rsid w:val="00A87C54"/>
    <w:rsid w:val="00A91D46"/>
    <w:rsid w:val="00A92338"/>
    <w:rsid w:val="00A9256A"/>
    <w:rsid w:val="00A94F19"/>
    <w:rsid w:val="00AA4301"/>
    <w:rsid w:val="00AA4748"/>
    <w:rsid w:val="00AA78DD"/>
    <w:rsid w:val="00AB2EE1"/>
    <w:rsid w:val="00AB5B68"/>
    <w:rsid w:val="00AB6AB5"/>
    <w:rsid w:val="00AC3354"/>
    <w:rsid w:val="00AD1FB8"/>
    <w:rsid w:val="00AD2C4A"/>
    <w:rsid w:val="00AD64E5"/>
    <w:rsid w:val="00AF3D62"/>
    <w:rsid w:val="00AF7B7F"/>
    <w:rsid w:val="00B009E9"/>
    <w:rsid w:val="00B050EC"/>
    <w:rsid w:val="00B0527F"/>
    <w:rsid w:val="00B06754"/>
    <w:rsid w:val="00B10FBE"/>
    <w:rsid w:val="00B11FFF"/>
    <w:rsid w:val="00B13D5E"/>
    <w:rsid w:val="00B146D1"/>
    <w:rsid w:val="00B15CA0"/>
    <w:rsid w:val="00B1712C"/>
    <w:rsid w:val="00B1780F"/>
    <w:rsid w:val="00B21133"/>
    <w:rsid w:val="00B30633"/>
    <w:rsid w:val="00B334B7"/>
    <w:rsid w:val="00B3666D"/>
    <w:rsid w:val="00B4094A"/>
    <w:rsid w:val="00B44304"/>
    <w:rsid w:val="00B450B6"/>
    <w:rsid w:val="00B457FD"/>
    <w:rsid w:val="00B47843"/>
    <w:rsid w:val="00B542BB"/>
    <w:rsid w:val="00B562D1"/>
    <w:rsid w:val="00B5705A"/>
    <w:rsid w:val="00B57935"/>
    <w:rsid w:val="00B627C2"/>
    <w:rsid w:val="00B630A1"/>
    <w:rsid w:val="00B67A6A"/>
    <w:rsid w:val="00B67B3B"/>
    <w:rsid w:val="00B72117"/>
    <w:rsid w:val="00B72299"/>
    <w:rsid w:val="00B72B60"/>
    <w:rsid w:val="00B7494A"/>
    <w:rsid w:val="00B74DA7"/>
    <w:rsid w:val="00B80C08"/>
    <w:rsid w:val="00B82765"/>
    <w:rsid w:val="00B83C69"/>
    <w:rsid w:val="00B83E24"/>
    <w:rsid w:val="00B85B6D"/>
    <w:rsid w:val="00B86723"/>
    <w:rsid w:val="00B87298"/>
    <w:rsid w:val="00B93095"/>
    <w:rsid w:val="00B937D2"/>
    <w:rsid w:val="00B96ECB"/>
    <w:rsid w:val="00B971CB"/>
    <w:rsid w:val="00B974CB"/>
    <w:rsid w:val="00BA0A61"/>
    <w:rsid w:val="00BA2F09"/>
    <w:rsid w:val="00BB037E"/>
    <w:rsid w:val="00BB0836"/>
    <w:rsid w:val="00BB17E7"/>
    <w:rsid w:val="00BB1DEF"/>
    <w:rsid w:val="00BB2F0D"/>
    <w:rsid w:val="00BB4A71"/>
    <w:rsid w:val="00BB67EA"/>
    <w:rsid w:val="00BB7B2F"/>
    <w:rsid w:val="00BC0A41"/>
    <w:rsid w:val="00BD368A"/>
    <w:rsid w:val="00BD557D"/>
    <w:rsid w:val="00BE2F52"/>
    <w:rsid w:val="00BE4A72"/>
    <w:rsid w:val="00BE640D"/>
    <w:rsid w:val="00BE64AE"/>
    <w:rsid w:val="00BE7A61"/>
    <w:rsid w:val="00BF17C0"/>
    <w:rsid w:val="00BF2176"/>
    <w:rsid w:val="00BF2992"/>
    <w:rsid w:val="00BF6D5C"/>
    <w:rsid w:val="00C0072F"/>
    <w:rsid w:val="00C01D6C"/>
    <w:rsid w:val="00C05956"/>
    <w:rsid w:val="00C059F9"/>
    <w:rsid w:val="00C103EE"/>
    <w:rsid w:val="00C1420F"/>
    <w:rsid w:val="00C172E1"/>
    <w:rsid w:val="00C200ED"/>
    <w:rsid w:val="00C206DA"/>
    <w:rsid w:val="00C2288B"/>
    <w:rsid w:val="00C254A9"/>
    <w:rsid w:val="00C2620A"/>
    <w:rsid w:val="00C2630B"/>
    <w:rsid w:val="00C310BC"/>
    <w:rsid w:val="00C31228"/>
    <w:rsid w:val="00C42736"/>
    <w:rsid w:val="00C43618"/>
    <w:rsid w:val="00C4368C"/>
    <w:rsid w:val="00C466BB"/>
    <w:rsid w:val="00C506FD"/>
    <w:rsid w:val="00C53CF9"/>
    <w:rsid w:val="00C545EA"/>
    <w:rsid w:val="00C54EF0"/>
    <w:rsid w:val="00C55C97"/>
    <w:rsid w:val="00C570E1"/>
    <w:rsid w:val="00C6450C"/>
    <w:rsid w:val="00C64CE4"/>
    <w:rsid w:val="00C66719"/>
    <w:rsid w:val="00C705AE"/>
    <w:rsid w:val="00C7097C"/>
    <w:rsid w:val="00C74645"/>
    <w:rsid w:val="00C74BA4"/>
    <w:rsid w:val="00C7737D"/>
    <w:rsid w:val="00C8348D"/>
    <w:rsid w:val="00C83785"/>
    <w:rsid w:val="00C84A3C"/>
    <w:rsid w:val="00C8690B"/>
    <w:rsid w:val="00C90432"/>
    <w:rsid w:val="00C9210D"/>
    <w:rsid w:val="00C94539"/>
    <w:rsid w:val="00C97DE1"/>
    <w:rsid w:val="00CA114C"/>
    <w:rsid w:val="00CA54C6"/>
    <w:rsid w:val="00CA5B6A"/>
    <w:rsid w:val="00CA6866"/>
    <w:rsid w:val="00CB03FF"/>
    <w:rsid w:val="00CB0F15"/>
    <w:rsid w:val="00CB33B0"/>
    <w:rsid w:val="00CB6A05"/>
    <w:rsid w:val="00CC097C"/>
    <w:rsid w:val="00CC2B8A"/>
    <w:rsid w:val="00CC3E52"/>
    <w:rsid w:val="00CC5015"/>
    <w:rsid w:val="00CC5C3C"/>
    <w:rsid w:val="00CD3017"/>
    <w:rsid w:val="00CD3539"/>
    <w:rsid w:val="00CE1332"/>
    <w:rsid w:val="00CE29BA"/>
    <w:rsid w:val="00CE3689"/>
    <w:rsid w:val="00CF102E"/>
    <w:rsid w:val="00CF205F"/>
    <w:rsid w:val="00CF25F9"/>
    <w:rsid w:val="00CF7366"/>
    <w:rsid w:val="00D04B20"/>
    <w:rsid w:val="00D05127"/>
    <w:rsid w:val="00D06AD2"/>
    <w:rsid w:val="00D171F1"/>
    <w:rsid w:val="00D25E77"/>
    <w:rsid w:val="00D27B2A"/>
    <w:rsid w:val="00D323BB"/>
    <w:rsid w:val="00D32FB5"/>
    <w:rsid w:val="00D34842"/>
    <w:rsid w:val="00D35AC2"/>
    <w:rsid w:val="00D4076C"/>
    <w:rsid w:val="00D415B9"/>
    <w:rsid w:val="00D42F0E"/>
    <w:rsid w:val="00D434D2"/>
    <w:rsid w:val="00D4393B"/>
    <w:rsid w:val="00D4506D"/>
    <w:rsid w:val="00D45511"/>
    <w:rsid w:val="00D455C5"/>
    <w:rsid w:val="00D47361"/>
    <w:rsid w:val="00D523DB"/>
    <w:rsid w:val="00D52437"/>
    <w:rsid w:val="00D55FE7"/>
    <w:rsid w:val="00D56D8B"/>
    <w:rsid w:val="00D60804"/>
    <w:rsid w:val="00D60DF0"/>
    <w:rsid w:val="00D61466"/>
    <w:rsid w:val="00D63A3C"/>
    <w:rsid w:val="00D63EBB"/>
    <w:rsid w:val="00D66E9A"/>
    <w:rsid w:val="00D71C99"/>
    <w:rsid w:val="00D76489"/>
    <w:rsid w:val="00D76887"/>
    <w:rsid w:val="00D807D4"/>
    <w:rsid w:val="00D84FF9"/>
    <w:rsid w:val="00D85759"/>
    <w:rsid w:val="00D871B6"/>
    <w:rsid w:val="00DA4065"/>
    <w:rsid w:val="00DA64ED"/>
    <w:rsid w:val="00DB0811"/>
    <w:rsid w:val="00DB1091"/>
    <w:rsid w:val="00DB144C"/>
    <w:rsid w:val="00DB1477"/>
    <w:rsid w:val="00DB58AE"/>
    <w:rsid w:val="00DB78C7"/>
    <w:rsid w:val="00DC0435"/>
    <w:rsid w:val="00DD3C84"/>
    <w:rsid w:val="00DE09D5"/>
    <w:rsid w:val="00DE12BE"/>
    <w:rsid w:val="00DE1F4E"/>
    <w:rsid w:val="00DE20F9"/>
    <w:rsid w:val="00DE23BC"/>
    <w:rsid w:val="00DE3E84"/>
    <w:rsid w:val="00DE40E5"/>
    <w:rsid w:val="00DE476A"/>
    <w:rsid w:val="00DF43AD"/>
    <w:rsid w:val="00DF4B63"/>
    <w:rsid w:val="00DF6081"/>
    <w:rsid w:val="00DF687E"/>
    <w:rsid w:val="00DF6951"/>
    <w:rsid w:val="00DF6DF9"/>
    <w:rsid w:val="00E02107"/>
    <w:rsid w:val="00E0413B"/>
    <w:rsid w:val="00E107BB"/>
    <w:rsid w:val="00E1282C"/>
    <w:rsid w:val="00E12964"/>
    <w:rsid w:val="00E13A1B"/>
    <w:rsid w:val="00E1526B"/>
    <w:rsid w:val="00E15AF4"/>
    <w:rsid w:val="00E16AF1"/>
    <w:rsid w:val="00E17F16"/>
    <w:rsid w:val="00E20A6C"/>
    <w:rsid w:val="00E2144F"/>
    <w:rsid w:val="00E2446E"/>
    <w:rsid w:val="00E25AFF"/>
    <w:rsid w:val="00E279CE"/>
    <w:rsid w:val="00E30CBD"/>
    <w:rsid w:val="00E36B08"/>
    <w:rsid w:val="00E37FAB"/>
    <w:rsid w:val="00E53644"/>
    <w:rsid w:val="00E60E5F"/>
    <w:rsid w:val="00E63DB1"/>
    <w:rsid w:val="00E66F0E"/>
    <w:rsid w:val="00E671CB"/>
    <w:rsid w:val="00E71D25"/>
    <w:rsid w:val="00E72C06"/>
    <w:rsid w:val="00E73F8D"/>
    <w:rsid w:val="00E74261"/>
    <w:rsid w:val="00E748B2"/>
    <w:rsid w:val="00E74BB2"/>
    <w:rsid w:val="00E77A96"/>
    <w:rsid w:val="00E77CAE"/>
    <w:rsid w:val="00E835BF"/>
    <w:rsid w:val="00E8543A"/>
    <w:rsid w:val="00E871BA"/>
    <w:rsid w:val="00E87E1F"/>
    <w:rsid w:val="00E90C1F"/>
    <w:rsid w:val="00E94ED2"/>
    <w:rsid w:val="00EA07FD"/>
    <w:rsid w:val="00EA30D3"/>
    <w:rsid w:val="00EB0751"/>
    <w:rsid w:val="00EB44CB"/>
    <w:rsid w:val="00EB56EF"/>
    <w:rsid w:val="00EC088C"/>
    <w:rsid w:val="00EC1405"/>
    <w:rsid w:val="00EC44CC"/>
    <w:rsid w:val="00EC6177"/>
    <w:rsid w:val="00ED10F8"/>
    <w:rsid w:val="00ED295D"/>
    <w:rsid w:val="00ED2FFF"/>
    <w:rsid w:val="00ED37A4"/>
    <w:rsid w:val="00ED5E42"/>
    <w:rsid w:val="00ED7331"/>
    <w:rsid w:val="00EE361C"/>
    <w:rsid w:val="00EE5DE9"/>
    <w:rsid w:val="00EE5EBB"/>
    <w:rsid w:val="00EF0105"/>
    <w:rsid w:val="00EF12A7"/>
    <w:rsid w:val="00EF29FD"/>
    <w:rsid w:val="00EF2D65"/>
    <w:rsid w:val="00EF30A2"/>
    <w:rsid w:val="00EF704D"/>
    <w:rsid w:val="00EF7588"/>
    <w:rsid w:val="00EF79BB"/>
    <w:rsid w:val="00F026D7"/>
    <w:rsid w:val="00F03208"/>
    <w:rsid w:val="00F0612C"/>
    <w:rsid w:val="00F070F3"/>
    <w:rsid w:val="00F0757D"/>
    <w:rsid w:val="00F10AA2"/>
    <w:rsid w:val="00F11897"/>
    <w:rsid w:val="00F11AA9"/>
    <w:rsid w:val="00F14A3C"/>
    <w:rsid w:val="00F21358"/>
    <w:rsid w:val="00F21DCC"/>
    <w:rsid w:val="00F2451B"/>
    <w:rsid w:val="00F25266"/>
    <w:rsid w:val="00F321E4"/>
    <w:rsid w:val="00F32A55"/>
    <w:rsid w:val="00F374F1"/>
    <w:rsid w:val="00F40CE4"/>
    <w:rsid w:val="00F40FBA"/>
    <w:rsid w:val="00F4317B"/>
    <w:rsid w:val="00F449DD"/>
    <w:rsid w:val="00F44B55"/>
    <w:rsid w:val="00F45EC8"/>
    <w:rsid w:val="00F4664A"/>
    <w:rsid w:val="00F5095E"/>
    <w:rsid w:val="00F544F6"/>
    <w:rsid w:val="00F56ED8"/>
    <w:rsid w:val="00F631D1"/>
    <w:rsid w:val="00F645BA"/>
    <w:rsid w:val="00F65E72"/>
    <w:rsid w:val="00F65F05"/>
    <w:rsid w:val="00F67F65"/>
    <w:rsid w:val="00F71FEB"/>
    <w:rsid w:val="00F72BDB"/>
    <w:rsid w:val="00F72CB1"/>
    <w:rsid w:val="00F72D0F"/>
    <w:rsid w:val="00F730EF"/>
    <w:rsid w:val="00F73D07"/>
    <w:rsid w:val="00F765D4"/>
    <w:rsid w:val="00F812DD"/>
    <w:rsid w:val="00F81A73"/>
    <w:rsid w:val="00F87CAC"/>
    <w:rsid w:val="00F914D8"/>
    <w:rsid w:val="00F91EDD"/>
    <w:rsid w:val="00F922D4"/>
    <w:rsid w:val="00F92F92"/>
    <w:rsid w:val="00F96862"/>
    <w:rsid w:val="00FA2816"/>
    <w:rsid w:val="00FB2BEA"/>
    <w:rsid w:val="00FB44C3"/>
    <w:rsid w:val="00FB5054"/>
    <w:rsid w:val="00FB509F"/>
    <w:rsid w:val="00FB57C0"/>
    <w:rsid w:val="00FC354B"/>
    <w:rsid w:val="00FC4333"/>
    <w:rsid w:val="00FC5C22"/>
    <w:rsid w:val="00FC6618"/>
    <w:rsid w:val="00FC6F6F"/>
    <w:rsid w:val="00FC7076"/>
    <w:rsid w:val="00FD303B"/>
    <w:rsid w:val="00FD51EC"/>
    <w:rsid w:val="00FD7B13"/>
    <w:rsid w:val="00FE1866"/>
    <w:rsid w:val="00FE384C"/>
    <w:rsid w:val="00FE7102"/>
    <w:rsid w:val="00FF0104"/>
    <w:rsid w:val="00FF7000"/>
    <w:rsid w:val="01117014"/>
    <w:rsid w:val="011345F3"/>
    <w:rsid w:val="0128498B"/>
    <w:rsid w:val="01391C5E"/>
    <w:rsid w:val="013C2821"/>
    <w:rsid w:val="013C4F3E"/>
    <w:rsid w:val="01477D1B"/>
    <w:rsid w:val="01672BC9"/>
    <w:rsid w:val="01706F43"/>
    <w:rsid w:val="017D49DF"/>
    <w:rsid w:val="01874792"/>
    <w:rsid w:val="01934B34"/>
    <w:rsid w:val="019C64D1"/>
    <w:rsid w:val="019E154B"/>
    <w:rsid w:val="01A21259"/>
    <w:rsid w:val="01AE7332"/>
    <w:rsid w:val="01B42379"/>
    <w:rsid w:val="01B670E1"/>
    <w:rsid w:val="01C1537A"/>
    <w:rsid w:val="01CE3A30"/>
    <w:rsid w:val="01CE430C"/>
    <w:rsid w:val="01D25560"/>
    <w:rsid w:val="01D579BF"/>
    <w:rsid w:val="01D67239"/>
    <w:rsid w:val="01E54A91"/>
    <w:rsid w:val="01E66F3B"/>
    <w:rsid w:val="01EA07F4"/>
    <w:rsid w:val="01FE1D36"/>
    <w:rsid w:val="020105C9"/>
    <w:rsid w:val="02023A28"/>
    <w:rsid w:val="02191114"/>
    <w:rsid w:val="02197944"/>
    <w:rsid w:val="022155C0"/>
    <w:rsid w:val="02290731"/>
    <w:rsid w:val="022F64CC"/>
    <w:rsid w:val="02360979"/>
    <w:rsid w:val="0251512C"/>
    <w:rsid w:val="02551F4B"/>
    <w:rsid w:val="025A1AAB"/>
    <w:rsid w:val="025B717D"/>
    <w:rsid w:val="025E3B33"/>
    <w:rsid w:val="02794153"/>
    <w:rsid w:val="027A5717"/>
    <w:rsid w:val="02845CE8"/>
    <w:rsid w:val="02871225"/>
    <w:rsid w:val="02920E1F"/>
    <w:rsid w:val="02921CBE"/>
    <w:rsid w:val="02AE054C"/>
    <w:rsid w:val="02CE3F67"/>
    <w:rsid w:val="02E0774A"/>
    <w:rsid w:val="02E44ECC"/>
    <w:rsid w:val="02F079F0"/>
    <w:rsid w:val="02F217A5"/>
    <w:rsid w:val="02F87131"/>
    <w:rsid w:val="02FA2032"/>
    <w:rsid w:val="03057CEE"/>
    <w:rsid w:val="03186D4A"/>
    <w:rsid w:val="03224C85"/>
    <w:rsid w:val="032A06AD"/>
    <w:rsid w:val="032D367F"/>
    <w:rsid w:val="033003FC"/>
    <w:rsid w:val="03595738"/>
    <w:rsid w:val="03634C74"/>
    <w:rsid w:val="03646322"/>
    <w:rsid w:val="036609BA"/>
    <w:rsid w:val="03691EBF"/>
    <w:rsid w:val="036F3598"/>
    <w:rsid w:val="0374096C"/>
    <w:rsid w:val="037700A6"/>
    <w:rsid w:val="037D08D8"/>
    <w:rsid w:val="037F7674"/>
    <w:rsid w:val="0384700E"/>
    <w:rsid w:val="03851C29"/>
    <w:rsid w:val="03877222"/>
    <w:rsid w:val="03963784"/>
    <w:rsid w:val="03981C3E"/>
    <w:rsid w:val="03A4783F"/>
    <w:rsid w:val="03A6420F"/>
    <w:rsid w:val="03A77D8C"/>
    <w:rsid w:val="03AB558C"/>
    <w:rsid w:val="03B1062D"/>
    <w:rsid w:val="03B26A4A"/>
    <w:rsid w:val="03BA14F6"/>
    <w:rsid w:val="03C57C04"/>
    <w:rsid w:val="03C675F8"/>
    <w:rsid w:val="03DA6B03"/>
    <w:rsid w:val="03DF2F03"/>
    <w:rsid w:val="03EA7478"/>
    <w:rsid w:val="03EB47BE"/>
    <w:rsid w:val="04107904"/>
    <w:rsid w:val="041115FD"/>
    <w:rsid w:val="042C3A1B"/>
    <w:rsid w:val="04311062"/>
    <w:rsid w:val="04364D47"/>
    <w:rsid w:val="044202FE"/>
    <w:rsid w:val="045A5DDF"/>
    <w:rsid w:val="045B638C"/>
    <w:rsid w:val="046210E9"/>
    <w:rsid w:val="046C35D1"/>
    <w:rsid w:val="0471586C"/>
    <w:rsid w:val="048776E7"/>
    <w:rsid w:val="048E7584"/>
    <w:rsid w:val="049C19AD"/>
    <w:rsid w:val="04A54CD0"/>
    <w:rsid w:val="04AD18CE"/>
    <w:rsid w:val="04AE3D9F"/>
    <w:rsid w:val="04BC3FF3"/>
    <w:rsid w:val="04C814A6"/>
    <w:rsid w:val="04DC7CC3"/>
    <w:rsid w:val="04E31421"/>
    <w:rsid w:val="04E76105"/>
    <w:rsid w:val="04E85586"/>
    <w:rsid w:val="04FC37E7"/>
    <w:rsid w:val="050317C6"/>
    <w:rsid w:val="051E41A8"/>
    <w:rsid w:val="051F3DA3"/>
    <w:rsid w:val="05252DBA"/>
    <w:rsid w:val="052B4996"/>
    <w:rsid w:val="05342EDC"/>
    <w:rsid w:val="057037B7"/>
    <w:rsid w:val="057A3995"/>
    <w:rsid w:val="058B7553"/>
    <w:rsid w:val="058D68EB"/>
    <w:rsid w:val="05931207"/>
    <w:rsid w:val="059C1AF5"/>
    <w:rsid w:val="05B560D7"/>
    <w:rsid w:val="05B76427"/>
    <w:rsid w:val="05BC4265"/>
    <w:rsid w:val="05C4611F"/>
    <w:rsid w:val="05C532F8"/>
    <w:rsid w:val="05CC28A4"/>
    <w:rsid w:val="05F10458"/>
    <w:rsid w:val="05F8699F"/>
    <w:rsid w:val="06010867"/>
    <w:rsid w:val="06057B74"/>
    <w:rsid w:val="060A4234"/>
    <w:rsid w:val="060C0ABE"/>
    <w:rsid w:val="060D76B0"/>
    <w:rsid w:val="06131E1C"/>
    <w:rsid w:val="063737DC"/>
    <w:rsid w:val="063E28E0"/>
    <w:rsid w:val="064000A2"/>
    <w:rsid w:val="0640436C"/>
    <w:rsid w:val="06425721"/>
    <w:rsid w:val="06621D8F"/>
    <w:rsid w:val="067B1449"/>
    <w:rsid w:val="0699430F"/>
    <w:rsid w:val="069C5526"/>
    <w:rsid w:val="069D14F3"/>
    <w:rsid w:val="06A727AB"/>
    <w:rsid w:val="06BD7E66"/>
    <w:rsid w:val="06BF5659"/>
    <w:rsid w:val="06CA1B67"/>
    <w:rsid w:val="06D01C7F"/>
    <w:rsid w:val="06DA1DEB"/>
    <w:rsid w:val="06EF132F"/>
    <w:rsid w:val="07040E53"/>
    <w:rsid w:val="070750DA"/>
    <w:rsid w:val="07092DF2"/>
    <w:rsid w:val="070A3DA7"/>
    <w:rsid w:val="070A6A26"/>
    <w:rsid w:val="07154AF1"/>
    <w:rsid w:val="07202A50"/>
    <w:rsid w:val="07302FB5"/>
    <w:rsid w:val="073402CD"/>
    <w:rsid w:val="07387D1D"/>
    <w:rsid w:val="074C33AB"/>
    <w:rsid w:val="074D45FD"/>
    <w:rsid w:val="07563FF9"/>
    <w:rsid w:val="075C3709"/>
    <w:rsid w:val="07677F15"/>
    <w:rsid w:val="076C48A9"/>
    <w:rsid w:val="07867A14"/>
    <w:rsid w:val="07921036"/>
    <w:rsid w:val="07A75A20"/>
    <w:rsid w:val="07B3755B"/>
    <w:rsid w:val="07B524FE"/>
    <w:rsid w:val="07C37594"/>
    <w:rsid w:val="07CC3DC3"/>
    <w:rsid w:val="07CF151D"/>
    <w:rsid w:val="07D032AF"/>
    <w:rsid w:val="07D33782"/>
    <w:rsid w:val="07DC169F"/>
    <w:rsid w:val="07EA11B3"/>
    <w:rsid w:val="07EA4DB0"/>
    <w:rsid w:val="07EB4117"/>
    <w:rsid w:val="07EE0198"/>
    <w:rsid w:val="08174ABE"/>
    <w:rsid w:val="08175244"/>
    <w:rsid w:val="08203093"/>
    <w:rsid w:val="08297544"/>
    <w:rsid w:val="082A6BC0"/>
    <w:rsid w:val="083723E6"/>
    <w:rsid w:val="08454B20"/>
    <w:rsid w:val="085229ED"/>
    <w:rsid w:val="08530B5C"/>
    <w:rsid w:val="08590BC8"/>
    <w:rsid w:val="085F7AEC"/>
    <w:rsid w:val="086678B9"/>
    <w:rsid w:val="086B36DD"/>
    <w:rsid w:val="086E6200"/>
    <w:rsid w:val="08990D27"/>
    <w:rsid w:val="08995220"/>
    <w:rsid w:val="089D1D62"/>
    <w:rsid w:val="08B45635"/>
    <w:rsid w:val="08BA5866"/>
    <w:rsid w:val="08C169E9"/>
    <w:rsid w:val="08C32A04"/>
    <w:rsid w:val="08CB4CB7"/>
    <w:rsid w:val="08CF3DBA"/>
    <w:rsid w:val="08E34471"/>
    <w:rsid w:val="08EE1FA9"/>
    <w:rsid w:val="08F13660"/>
    <w:rsid w:val="08F54561"/>
    <w:rsid w:val="08F55E7D"/>
    <w:rsid w:val="08F61692"/>
    <w:rsid w:val="08FE5DCA"/>
    <w:rsid w:val="09210895"/>
    <w:rsid w:val="09340620"/>
    <w:rsid w:val="093A0DDD"/>
    <w:rsid w:val="093A77AE"/>
    <w:rsid w:val="093B73C2"/>
    <w:rsid w:val="09447EF3"/>
    <w:rsid w:val="094744CC"/>
    <w:rsid w:val="09556737"/>
    <w:rsid w:val="09584D06"/>
    <w:rsid w:val="095851EC"/>
    <w:rsid w:val="09601C5E"/>
    <w:rsid w:val="096764F0"/>
    <w:rsid w:val="096C54C1"/>
    <w:rsid w:val="0973298E"/>
    <w:rsid w:val="09794A8C"/>
    <w:rsid w:val="09861627"/>
    <w:rsid w:val="098E6FBB"/>
    <w:rsid w:val="0992789F"/>
    <w:rsid w:val="09B46870"/>
    <w:rsid w:val="09BB4D04"/>
    <w:rsid w:val="09BF0F54"/>
    <w:rsid w:val="09C73FFB"/>
    <w:rsid w:val="09CE2C9B"/>
    <w:rsid w:val="09D44A73"/>
    <w:rsid w:val="09DA4C57"/>
    <w:rsid w:val="09DD0964"/>
    <w:rsid w:val="09E5470A"/>
    <w:rsid w:val="09E65247"/>
    <w:rsid w:val="09ED7D9D"/>
    <w:rsid w:val="09F86467"/>
    <w:rsid w:val="09FC6F28"/>
    <w:rsid w:val="09FD208C"/>
    <w:rsid w:val="09FE427B"/>
    <w:rsid w:val="0A0242D9"/>
    <w:rsid w:val="0A08432C"/>
    <w:rsid w:val="0A164AB8"/>
    <w:rsid w:val="0A270513"/>
    <w:rsid w:val="0A2B15C4"/>
    <w:rsid w:val="0A2E3136"/>
    <w:rsid w:val="0A305363"/>
    <w:rsid w:val="0A4117BE"/>
    <w:rsid w:val="0A417441"/>
    <w:rsid w:val="0A463E8C"/>
    <w:rsid w:val="0A4A26F8"/>
    <w:rsid w:val="0A4E175F"/>
    <w:rsid w:val="0A55741E"/>
    <w:rsid w:val="0A573FF5"/>
    <w:rsid w:val="0A6743E9"/>
    <w:rsid w:val="0AA303AF"/>
    <w:rsid w:val="0AA83DE1"/>
    <w:rsid w:val="0AB23C5D"/>
    <w:rsid w:val="0AB268D2"/>
    <w:rsid w:val="0AC0029E"/>
    <w:rsid w:val="0AC912A8"/>
    <w:rsid w:val="0ACD0398"/>
    <w:rsid w:val="0AD910F4"/>
    <w:rsid w:val="0ADC4461"/>
    <w:rsid w:val="0B02106B"/>
    <w:rsid w:val="0B025F7A"/>
    <w:rsid w:val="0B0D18DB"/>
    <w:rsid w:val="0B2146B4"/>
    <w:rsid w:val="0B301699"/>
    <w:rsid w:val="0B4E6F0E"/>
    <w:rsid w:val="0B500561"/>
    <w:rsid w:val="0B562E18"/>
    <w:rsid w:val="0B5900A1"/>
    <w:rsid w:val="0B590F6A"/>
    <w:rsid w:val="0B6C58EB"/>
    <w:rsid w:val="0B701F77"/>
    <w:rsid w:val="0B7A1670"/>
    <w:rsid w:val="0B8C6FD8"/>
    <w:rsid w:val="0B96020D"/>
    <w:rsid w:val="0BA121C7"/>
    <w:rsid w:val="0BAD3BCD"/>
    <w:rsid w:val="0BB53E3B"/>
    <w:rsid w:val="0BB760C8"/>
    <w:rsid w:val="0BBC6135"/>
    <w:rsid w:val="0BE246D7"/>
    <w:rsid w:val="0BE51D24"/>
    <w:rsid w:val="0BE7654D"/>
    <w:rsid w:val="0BEB7429"/>
    <w:rsid w:val="0BED51E6"/>
    <w:rsid w:val="0BF33202"/>
    <w:rsid w:val="0BF85E70"/>
    <w:rsid w:val="0C0850BA"/>
    <w:rsid w:val="0C123D37"/>
    <w:rsid w:val="0C1903EF"/>
    <w:rsid w:val="0C1F092B"/>
    <w:rsid w:val="0C213404"/>
    <w:rsid w:val="0C2734B4"/>
    <w:rsid w:val="0C283CAA"/>
    <w:rsid w:val="0C2E072F"/>
    <w:rsid w:val="0C352DA9"/>
    <w:rsid w:val="0C3A7885"/>
    <w:rsid w:val="0C456EFB"/>
    <w:rsid w:val="0C4E12E7"/>
    <w:rsid w:val="0C532677"/>
    <w:rsid w:val="0C55372B"/>
    <w:rsid w:val="0C5A3140"/>
    <w:rsid w:val="0C5E03CE"/>
    <w:rsid w:val="0C7950A5"/>
    <w:rsid w:val="0C7C7F29"/>
    <w:rsid w:val="0CA758CA"/>
    <w:rsid w:val="0CBF11AF"/>
    <w:rsid w:val="0CC200F4"/>
    <w:rsid w:val="0CD861A6"/>
    <w:rsid w:val="0CDD3141"/>
    <w:rsid w:val="0CF0414A"/>
    <w:rsid w:val="0CFB473E"/>
    <w:rsid w:val="0D07536E"/>
    <w:rsid w:val="0D0B18CB"/>
    <w:rsid w:val="0D1858EB"/>
    <w:rsid w:val="0D1D69AD"/>
    <w:rsid w:val="0D2016B6"/>
    <w:rsid w:val="0D205447"/>
    <w:rsid w:val="0D232630"/>
    <w:rsid w:val="0D276B5B"/>
    <w:rsid w:val="0D3015AB"/>
    <w:rsid w:val="0D832C11"/>
    <w:rsid w:val="0D8900FE"/>
    <w:rsid w:val="0D8929ED"/>
    <w:rsid w:val="0DA66FCC"/>
    <w:rsid w:val="0DC643AF"/>
    <w:rsid w:val="0DC735BE"/>
    <w:rsid w:val="0DD021D2"/>
    <w:rsid w:val="0DD46B39"/>
    <w:rsid w:val="0DD47A4A"/>
    <w:rsid w:val="0DE37C2C"/>
    <w:rsid w:val="0DEB5728"/>
    <w:rsid w:val="0DEC4F00"/>
    <w:rsid w:val="0E071222"/>
    <w:rsid w:val="0E0C1EBB"/>
    <w:rsid w:val="0E0D6EFD"/>
    <w:rsid w:val="0E141D3A"/>
    <w:rsid w:val="0E1C38B1"/>
    <w:rsid w:val="0E350F9E"/>
    <w:rsid w:val="0E415ECF"/>
    <w:rsid w:val="0E545AE6"/>
    <w:rsid w:val="0E5745CF"/>
    <w:rsid w:val="0E587734"/>
    <w:rsid w:val="0E646028"/>
    <w:rsid w:val="0E6E58A5"/>
    <w:rsid w:val="0E6F7FB4"/>
    <w:rsid w:val="0E773BB2"/>
    <w:rsid w:val="0E7A3B12"/>
    <w:rsid w:val="0E7E5FCD"/>
    <w:rsid w:val="0E880F80"/>
    <w:rsid w:val="0E91004D"/>
    <w:rsid w:val="0E991157"/>
    <w:rsid w:val="0E9A2458"/>
    <w:rsid w:val="0E9D1E80"/>
    <w:rsid w:val="0EA40DB6"/>
    <w:rsid w:val="0EAB5F83"/>
    <w:rsid w:val="0EB02980"/>
    <w:rsid w:val="0EB0564E"/>
    <w:rsid w:val="0EB05C61"/>
    <w:rsid w:val="0EC468CC"/>
    <w:rsid w:val="0EC676BC"/>
    <w:rsid w:val="0EC95A63"/>
    <w:rsid w:val="0ECB2AB9"/>
    <w:rsid w:val="0ED11F53"/>
    <w:rsid w:val="0EE61038"/>
    <w:rsid w:val="0EEF0E4F"/>
    <w:rsid w:val="0EEF71F4"/>
    <w:rsid w:val="0EF53592"/>
    <w:rsid w:val="0F122E62"/>
    <w:rsid w:val="0F1A5019"/>
    <w:rsid w:val="0F301A79"/>
    <w:rsid w:val="0F345DA3"/>
    <w:rsid w:val="0F3C643B"/>
    <w:rsid w:val="0F4D317D"/>
    <w:rsid w:val="0F4E09B5"/>
    <w:rsid w:val="0F64628B"/>
    <w:rsid w:val="0F6E5722"/>
    <w:rsid w:val="0F7730BF"/>
    <w:rsid w:val="0F8B5B02"/>
    <w:rsid w:val="0F901645"/>
    <w:rsid w:val="0F9047F5"/>
    <w:rsid w:val="0F9F11C4"/>
    <w:rsid w:val="0FA17A3B"/>
    <w:rsid w:val="0FA33954"/>
    <w:rsid w:val="0FA45F15"/>
    <w:rsid w:val="0FA853C3"/>
    <w:rsid w:val="0FAF1B7D"/>
    <w:rsid w:val="0FB15318"/>
    <w:rsid w:val="0FD83A2F"/>
    <w:rsid w:val="0FD96B17"/>
    <w:rsid w:val="0FEE505C"/>
    <w:rsid w:val="0FF01258"/>
    <w:rsid w:val="0FF17F42"/>
    <w:rsid w:val="0FFB28A7"/>
    <w:rsid w:val="0FFC25C0"/>
    <w:rsid w:val="0FFC59B8"/>
    <w:rsid w:val="0FFD168A"/>
    <w:rsid w:val="100312DF"/>
    <w:rsid w:val="10244625"/>
    <w:rsid w:val="103B78DF"/>
    <w:rsid w:val="103D1392"/>
    <w:rsid w:val="10587A08"/>
    <w:rsid w:val="105E1A97"/>
    <w:rsid w:val="107E3F0C"/>
    <w:rsid w:val="107F33D2"/>
    <w:rsid w:val="10846958"/>
    <w:rsid w:val="10873FA6"/>
    <w:rsid w:val="10922D3A"/>
    <w:rsid w:val="109853AD"/>
    <w:rsid w:val="10A31AC1"/>
    <w:rsid w:val="10A92DD6"/>
    <w:rsid w:val="10AB456B"/>
    <w:rsid w:val="10B760B8"/>
    <w:rsid w:val="10B853CF"/>
    <w:rsid w:val="10C31782"/>
    <w:rsid w:val="10C47703"/>
    <w:rsid w:val="10CC506D"/>
    <w:rsid w:val="10CF6554"/>
    <w:rsid w:val="10D625DC"/>
    <w:rsid w:val="10FC710C"/>
    <w:rsid w:val="11043946"/>
    <w:rsid w:val="11143E87"/>
    <w:rsid w:val="11194E29"/>
    <w:rsid w:val="111B6C9E"/>
    <w:rsid w:val="111C748E"/>
    <w:rsid w:val="11230B5B"/>
    <w:rsid w:val="11281AB2"/>
    <w:rsid w:val="11331123"/>
    <w:rsid w:val="11336AE2"/>
    <w:rsid w:val="113C0A28"/>
    <w:rsid w:val="11406FA1"/>
    <w:rsid w:val="1147508B"/>
    <w:rsid w:val="115376F4"/>
    <w:rsid w:val="115D1210"/>
    <w:rsid w:val="11697FC3"/>
    <w:rsid w:val="11823969"/>
    <w:rsid w:val="11916688"/>
    <w:rsid w:val="11A9299C"/>
    <w:rsid w:val="11C13F42"/>
    <w:rsid w:val="11C501B6"/>
    <w:rsid w:val="11CB28F1"/>
    <w:rsid w:val="11D918D2"/>
    <w:rsid w:val="11D97F2F"/>
    <w:rsid w:val="11F755AD"/>
    <w:rsid w:val="120134BE"/>
    <w:rsid w:val="12041922"/>
    <w:rsid w:val="120F09FE"/>
    <w:rsid w:val="121E1EAB"/>
    <w:rsid w:val="12375F2D"/>
    <w:rsid w:val="123F292A"/>
    <w:rsid w:val="124435D6"/>
    <w:rsid w:val="12601C36"/>
    <w:rsid w:val="126116FC"/>
    <w:rsid w:val="12626151"/>
    <w:rsid w:val="1269545A"/>
    <w:rsid w:val="12775413"/>
    <w:rsid w:val="12790ECC"/>
    <w:rsid w:val="128D74A8"/>
    <w:rsid w:val="129D2AD4"/>
    <w:rsid w:val="129F1B6B"/>
    <w:rsid w:val="12A87916"/>
    <w:rsid w:val="12AA27CF"/>
    <w:rsid w:val="12AB7F14"/>
    <w:rsid w:val="12AF6A46"/>
    <w:rsid w:val="12B20B92"/>
    <w:rsid w:val="12B97F39"/>
    <w:rsid w:val="12BF508D"/>
    <w:rsid w:val="12C04642"/>
    <w:rsid w:val="12E623DC"/>
    <w:rsid w:val="12FF3C33"/>
    <w:rsid w:val="130A3299"/>
    <w:rsid w:val="130A4301"/>
    <w:rsid w:val="130E0B38"/>
    <w:rsid w:val="1315633D"/>
    <w:rsid w:val="13211C0F"/>
    <w:rsid w:val="132810D0"/>
    <w:rsid w:val="132C7F56"/>
    <w:rsid w:val="132E3295"/>
    <w:rsid w:val="13346F60"/>
    <w:rsid w:val="133B0CD9"/>
    <w:rsid w:val="133D4B45"/>
    <w:rsid w:val="13511307"/>
    <w:rsid w:val="135137A7"/>
    <w:rsid w:val="13591E62"/>
    <w:rsid w:val="135D1979"/>
    <w:rsid w:val="136028B2"/>
    <w:rsid w:val="13653FCD"/>
    <w:rsid w:val="13787827"/>
    <w:rsid w:val="138044DA"/>
    <w:rsid w:val="1387550D"/>
    <w:rsid w:val="13943A87"/>
    <w:rsid w:val="13962AF4"/>
    <w:rsid w:val="139F3906"/>
    <w:rsid w:val="13B23D82"/>
    <w:rsid w:val="13BC72DB"/>
    <w:rsid w:val="13BE13BC"/>
    <w:rsid w:val="13C363B6"/>
    <w:rsid w:val="13CD5A7C"/>
    <w:rsid w:val="13D36A07"/>
    <w:rsid w:val="13D438F9"/>
    <w:rsid w:val="13DD1444"/>
    <w:rsid w:val="13DF5FFB"/>
    <w:rsid w:val="13E04326"/>
    <w:rsid w:val="13E64DFF"/>
    <w:rsid w:val="13EB4760"/>
    <w:rsid w:val="13EC04C4"/>
    <w:rsid w:val="13EE111D"/>
    <w:rsid w:val="13F039E2"/>
    <w:rsid w:val="13F4685E"/>
    <w:rsid w:val="13F96AEE"/>
    <w:rsid w:val="14000BB3"/>
    <w:rsid w:val="141179C3"/>
    <w:rsid w:val="141D16DE"/>
    <w:rsid w:val="141E1F94"/>
    <w:rsid w:val="14263477"/>
    <w:rsid w:val="1431328F"/>
    <w:rsid w:val="144E4905"/>
    <w:rsid w:val="145271C8"/>
    <w:rsid w:val="14594A4C"/>
    <w:rsid w:val="14692D59"/>
    <w:rsid w:val="14761164"/>
    <w:rsid w:val="147B1E59"/>
    <w:rsid w:val="14916DCB"/>
    <w:rsid w:val="14951FA8"/>
    <w:rsid w:val="149C1A1A"/>
    <w:rsid w:val="14C11AA1"/>
    <w:rsid w:val="14C75BEA"/>
    <w:rsid w:val="14E0729C"/>
    <w:rsid w:val="14E66637"/>
    <w:rsid w:val="14EF5BB2"/>
    <w:rsid w:val="14EF6856"/>
    <w:rsid w:val="150F23CF"/>
    <w:rsid w:val="15165619"/>
    <w:rsid w:val="151B0E10"/>
    <w:rsid w:val="151F0B59"/>
    <w:rsid w:val="15213B97"/>
    <w:rsid w:val="1541405D"/>
    <w:rsid w:val="155548F9"/>
    <w:rsid w:val="155C7526"/>
    <w:rsid w:val="155D2301"/>
    <w:rsid w:val="15623ED4"/>
    <w:rsid w:val="156D1357"/>
    <w:rsid w:val="1574209C"/>
    <w:rsid w:val="157C487A"/>
    <w:rsid w:val="15853BD7"/>
    <w:rsid w:val="15884A36"/>
    <w:rsid w:val="158F765D"/>
    <w:rsid w:val="15983321"/>
    <w:rsid w:val="159B0087"/>
    <w:rsid w:val="159C6BEF"/>
    <w:rsid w:val="159D41BD"/>
    <w:rsid w:val="15AC5CB5"/>
    <w:rsid w:val="15AE3519"/>
    <w:rsid w:val="15AF3A36"/>
    <w:rsid w:val="15B03E7D"/>
    <w:rsid w:val="15B274BF"/>
    <w:rsid w:val="15B93049"/>
    <w:rsid w:val="15BC4E39"/>
    <w:rsid w:val="15C26CE1"/>
    <w:rsid w:val="15C34F5F"/>
    <w:rsid w:val="15C61A9C"/>
    <w:rsid w:val="15C843E6"/>
    <w:rsid w:val="15C96064"/>
    <w:rsid w:val="15D02612"/>
    <w:rsid w:val="15DA468D"/>
    <w:rsid w:val="15E92586"/>
    <w:rsid w:val="15F90469"/>
    <w:rsid w:val="16067107"/>
    <w:rsid w:val="160D3997"/>
    <w:rsid w:val="161333A5"/>
    <w:rsid w:val="16207487"/>
    <w:rsid w:val="162A49BB"/>
    <w:rsid w:val="162F398C"/>
    <w:rsid w:val="16331E94"/>
    <w:rsid w:val="163C6AEC"/>
    <w:rsid w:val="164050C0"/>
    <w:rsid w:val="16410EDD"/>
    <w:rsid w:val="164661BF"/>
    <w:rsid w:val="16502E72"/>
    <w:rsid w:val="16926431"/>
    <w:rsid w:val="16A966F9"/>
    <w:rsid w:val="16B237A1"/>
    <w:rsid w:val="16B869C0"/>
    <w:rsid w:val="16BB3A58"/>
    <w:rsid w:val="16C11640"/>
    <w:rsid w:val="16CC55EB"/>
    <w:rsid w:val="16CF0354"/>
    <w:rsid w:val="16CF087F"/>
    <w:rsid w:val="16E77B70"/>
    <w:rsid w:val="16EB65B5"/>
    <w:rsid w:val="16F13A5C"/>
    <w:rsid w:val="16F21F60"/>
    <w:rsid w:val="16F34814"/>
    <w:rsid w:val="16F765C2"/>
    <w:rsid w:val="16F804B6"/>
    <w:rsid w:val="16FB5C54"/>
    <w:rsid w:val="17045A32"/>
    <w:rsid w:val="170A1801"/>
    <w:rsid w:val="170F5727"/>
    <w:rsid w:val="171270F4"/>
    <w:rsid w:val="171868A7"/>
    <w:rsid w:val="17307927"/>
    <w:rsid w:val="17312AD3"/>
    <w:rsid w:val="17317069"/>
    <w:rsid w:val="174F623E"/>
    <w:rsid w:val="175479D5"/>
    <w:rsid w:val="175C2CA7"/>
    <w:rsid w:val="176600BA"/>
    <w:rsid w:val="176A1B52"/>
    <w:rsid w:val="176A5F13"/>
    <w:rsid w:val="176D5141"/>
    <w:rsid w:val="176E4BF0"/>
    <w:rsid w:val="177121F2"/>
    <w:rsid w:val="17752DF9"/>
    <w:rsid w:val="17774E9E"/>
    <w:rsid w:val="177822BC"/>
    <w:rsid w:val="177D43D6"/>
    <w:rsid w:val="179F0B5F"/>
    <w:rsid w:val="17AC08CE"/>
    <w:rsid w:val="17BB4950"/>
    <w:rsid w:val="17C40EB5"/>
    <w:rsid w:val="17C66D95"/>
    <w:rsid w:val="17DB1815"/>
    <w:rsid w:val="17DD1F20"/>
    <w:rsid w:val="17F451A8"/>
    <w:rsid w:val="17F851E0"/>
    <w:rsid w:val="17FF205F"/>
    <w:rsid w:val="180C2BCE"/>
    <w:rsid w:val="181F5BC6"/>
    <w:rsid w:val="1831544C"/>
    <w:rsid w:val="185831C9"/>
    <w:rsid w:val="186D1185"/>
    <w:rsid w:val="186D64B1"/>
    <w:rsid w:val="187A57B2"/>
    <w:rsid w:val="188521E8"/>
    <w:rsid w:val="188E2684"/>
    <w:rsid w:val="18995801"/>
    <w:rsid w:val="18A118AC"/>
    <w:rsid w:val="18A705C6"/>
    <w:rsid w:val="18B47A13"/>
    <w:rsid w:val="18BA6A3B"/>
    <w:rsid w:val="18C55560"/>
    <w:rsid w:val="18E17FA4"/>
    <w:rsid w:val="18EB0BCE"/>
    <w:rsid w:val="18F27723"/>
    <w:rsid w:val="18FA699D"/>
    <w:rsid w:val="19004BC5"/>
    <w:rsid w:val="190274BD"/>
    <w:rsid w:val="19034B5E"/>
    <w:rsid w:val="190F1CA1"/>
    <w:rsid w:val="1927417B"/>
    <w:rsid w:val="192C330F"/>
    <w:rsid w:val="19336854"/>
    <w:rsid w:val="19405521"/>
    <w:rsid w:val="19454F41"/>
    <w:rsid w:val="19516D23"/>
    <w:rsid w:val="196746C1"/>
    <w:rsid w:val="197137F7"/>
    <w:rsid w:val="197929DD"/>
    <w:rsid w:val="19802D7C"/>
    <w:rsid w:val="198C2DF3"/>
    <w:rsid w:val="1990587A"/>
    <w:rsid w:val="19A3356D"/>
    <w:rsid w:val="19A64AC3"/>
    <w:rsid w:val="19C2330C"/>
    <w:rsid w:val="19C32FEC"/>
    <w:rsid w:val="19D430B2"/>
    <w:rsid w:val="19D620F0"/>
    <w:rsid w:val="19D74098"/>
    <w:rsid w:val="19F85256"/>
    <w:rsid w:val="1A1109E8"/>
    <w:rsid w:val="1A2A7D4F"/>
    <w:rsid w:val="1A2F251B"/>
    <w:rsid w:val="1A404FCA"/>
    <w:rsid w:val="1A4A0A06"/>
    <w:rsid w:val="1A4A2D77"/>
    <w:rsid w:val="1A4A63F0"/>
    <w:rsid w:val="1A507583"/>
    <w:rsid w:val="1A571250"/>
    <w:rsid w:val="1A623481"/>
    <w:rsid w:val="1A785BFA"/>
    <w:rsid w:val="1A7A06D5"/>
    <w:rsid w:val="1A883AF7"/>
    <w:rsid w:val="1A8D0754"/>
    <w:rsid w:val="1ABF17B8"/>
    <w:rsid w:val="1ACE2CCF"/>
    <w:rsid w:val="1AE609E7"/>
    <w:rsid w:val="1B0055DF"/>
    <w:rsid w:val="1B0730FB"/>
    <w:rsid w:val="1B0C5DC2"/>
    <w:rsid w:val="1B0F5B95"/>
    <w:rsid w:val="1B1658DE"/>
    <w:rsid w:val="1B1C3A4B"/>
    <w:rsid w:val="1B20516C"/>
    <w:rsid w:val="1B2C6F0B"/>
    <w:rsid w:val="1B644DD1"/>
    <w:rsid w:val="1B654ABE"/>
    <w:rsid w:val="1B79450A"/>
    <w:rsid w:val="1B887557"/>
    <w:rsid w:val="1B8D05D4"/>
    <w:rsid w:val="1BB447F9"/>
    <w:rsid w:val="1BBD5CC7"/>
    <w:rsid w:val="1BBE28E7"/>
    <w:rsid w:val="1BC72CA5"/>
    <w:rsid w:val="1BC77375"/>
    <w:rsid w:val="1BCD687F"/>
    <w:rsid w:val="1BCF17BB"/>
    <w:rsid w:val="1BD57664"/>
    <w:rsid w:val="1BDC7CBA"/>
    <w:rsid w:val="1BE053F2"/>
    <w:rsid w:val="1BE1218D"/>
    <w:rsid w:val="1BE511AC"/>
    <w:rsid w:val="1BE553D5"/>
    <w:rsid w:val="1BEB6D92"/>
    <w:rsid w:val="1BF70A50"/>
    <w:rsid w:val="1C0B1E6D"/>
    <w:rsid w:val="1C1E7C73"/>
    <w:rsid w:val="1C28666D"/>
    <w:rsid w:val="1C3851B1"/>
    <w:rsid w:val="1C4540D6"/>
    <w:rsid w:val="1C4E3AD8"/>
    <w:rsid w:val="1C5C062C"/>
    <w:rsid w:val="1C691DF3"/>
    <w:rsid w:val="1C6E6549"/>
    <w:rsid w:val="1C7C6BA9"/>
    <w:rsid w:val="1C8278C0"/>
    <w:rsid w:val="1C835B7E"/>
    <w:rsid w:val="1C873AF0"/>
    <w:rsid w:val="1CA52D47"/>
    <w:rsid w:val="1CB6266B"/>
    <w:rsid w:val="1CB67348"/>
    <w:rsid w:val="1CB76E41"/>
    <w:rsid w:val="1CF022C5"/>
    <w:rsid w:val="1CF275FB"/>
    <w:rsid w:val="1CF57088"/>
    <w:rsid w:val="1D0968FE"/>
    <w:rsid w:val="1D0A0DBC"/>
    <w:rsid w:val="1D0D1718"/>
    <w:rsid w:val="1D276C8E"/>
    <w:rsid w:val="1D34125D"/>
    <w:rsid w:val="1D397B2A"/>
    <w:rsid w:val="1D42620B"/>
    <w:rsid w:val="1D4A4488"/>
    <w:rsid w:val="1D677770"/>
    <w:rsid w:val="1D6F0A27"/>
    <w:rsid w:val="1D7B0D1E"/>
    <w:rsid w:val="1D7E2B3F"/>
    <w:rsid w:val="1D832084"/>
    <w:rsid w:val="1D9A557D"/>
    <w:rsid w:val="1DA0011C"/>
    <w:rsid w:val="1DA527B6"/>
    <w:rsid w:val="1DA7226F"/>
    <w:rsid w:val="1DA90073"/>
    <w:rsid w:val="1DAA5D61"/>
    <w:rsid w:val="1DAB7374"/>
    <w:rsid w:val="1DAD0DAE"/>
    <w:rsid w:val="1DAE4542"/>
    <w:rsid w:val="1DB43387"/>
    <w:rsid w:val="1DBA3917"/>
    <w:rsid w:val="1DC807A2"/>
    <w:rsid w:val="1DD742BB"/>
    <w:rsid w:val="1DDD309E"/>
    <w:rsid w:val="1DDE6F29"/>
    <w:rsid w:val="1DE0649A"/>
    <w:rsid w:val="1DE909A1"/>
    <w:rsid w:val="1DF760F0"/>
    <w:rsid w:val="1DFC357B"/>
    <w:rsid w:val="1E003D34"/>
    <w:rsid w:val="1E065839"/>
    <w:rsid w:val="1E1C6D63"/>
    <w:rsid w:val="1E250964"/>
    <w:rsid w:val="1E3F4ECB"/>
    <w:rsid w:val="1E561B8B"/>
    <w:rsid w:val="1E5715C6"/>
    <w:rsid w:val="1E583433"/>
    <w:rsid w:val="1E5C3947"/>
    <w:rsid w:val="1E705799"/>
    <w:rsid w:val="1E7571FF"/>
    <w:rsid w:val="1E8E3AA8"/>
    <w:rsid w:val="1E931773"/>
    <w:rsid w:val="1E935E7E"/>
    <w:rsid w:val="1EB40431"/>
    <w:rsid w:val="1EBC7985"/>
    <w:rsid w:val="1ED534C5"/>
    <w:rsid w:val="1ED972EB"/>
    <w:rsid w:val="1EE27E32"/>
    <w:rsid w:val="1EE42C37"/>
    <w:rsid w:val="1EE62299"/>
    <w:rsid w:val="1EE80288"/>
    <w:rsid w:val="1EE93ADD"/>
    <w:rsid w:val="1EEA0F12"/>
    <w:rsid w:val="1EF818BD"/>
    <w:rsid w:val="1F0B3EDC"/>
    <w:rsid w:val="1F203707"/>
    <w:rsid w:val="1F363089"/>
    <w:rsid w:val="1F373AC9"/>
    <w:rsid w:val="1F386A3E"/>
    <w:rsid w:val="1F39088D"/>
    <w:rsid w:val="1F443CBC"/>
    <w:rsid w:val="1F454C7E"/>
    <w:rsid w:val="1F48099B"/>
    <w:rsid w:val="1F4872F7"/>
    <w:rsid w:val="1F672DAC"/>
    <w:rsid w:val="1F6B524B"/>
    <w:rsid w:val="1F735607"/>
    <w:rsid w:val="1F815D44"/>
    <w:rsid w:val="1F824080"/>
    <w:rsid w:val="1F882968"/>
    <w:rsid w:val="1F915243"/>
    <w:rsid w:val="1F93146E"/>
    <w:rsid w:val="1FA020FB"/>
    <w:rsid w:val="1FAB6FFD"/>
    <w:rsid w:val="1FB32316"/>
    <w:rsid w:val="1FD76B30"/>
    <w:rsid w:val="1FE17767"/>
    <w:rsid w:val="1FE35216"/>
    <w:rsid w:val="1FFF770A"/>
    <w:rsid w:val="2001348E"/>
    <w:rsid w:val="20037194"/>
    <w:rsid w:val="20085F76"/>
    <w:rsid w:val="200B0884"/>
    <w:rsid w:val="200E3B0D"/>
    <w:rsid w:val="20101F38"/>
    <w:rsid w:val="2016337E"/>
    <w:rsid w:val="201979A0"/>
    <w:rsid w:val="201F24E6"/>
    <w:rsid w:val="20202F7D"/>
    <w:rsid w:val="20237D0E"/>
    <w:rsid w:val="20260BF4"/>
    <w:rsid w:val="20264D0B"/>
    <w:rsid w:val="202A1C5D"/>
    <w:rsid w:val="20316E68"/>
    <w:rsid w:val="20345813"/>
    <w:rsid w:val="20407070"/>
    <w:rsid w:val="204857EB"/>
    <w:rsid w:val="204F36B4"/>
    <w:rsid w:val="205B2016"/>
    <w:rsid w:val="205B55DB"/>
    <w:rsid w:val="206951BF"/>
    <w:rsid w:val="20727C42"/>
    <w:rsid w:val="207F7727"/>
    <w:rsid w:val="208D12D6"/>
    <w:rsid w:val="20941B36"/>
    <w:rsid w:val="20943A35"/>
    <w:rsid w:val="209813CD"/>
    <w:rsid w:val="20A04BB5"/>
    <w:rsid w:val="20AC15EA"/>
    <w:rsid w:val="20AE3A2F"/>
    <w:rsid w:val="20E51130"/>
    <w:rsid w:val="20E71161"/>
    <w:rsid w:val="21014DBC"/>
    <w:rsid w:val="210247C4"/>
    <w:rsid w:val="21037934"/>
    <w:rsid w:val="210E23E4"/>
    <w:rsid w:val="210F15D3"/>
    <w:rsid w:val="210F2E0E"/>
    <w:rsid w:val="2110315B"/>
    <w:rsid w:val="211667C8"/>
    <w:rsid w:val="211A5AE2"/>
    <w:rsid w:val="2127472C"/>
    <w:rsid w:val="21324248"/>
    <w:rsid w:val="21355582"/>
    <w:rsid w:val="21415A97"/>
    <w:rsid w:val="214F53C7"/>
    <w:rsid w:val="215762FD"/>
    <w:rsid w:val="215B1E73"/>
    <w:rsid w:val="215F2DDD"/>
    <w:rsid w:val="216B7821"/>
    <w:rsid w:val="216E0EB3"/>
    <w:rsid w:val="21707B5F"/>
    <w:rsid w:val="21A50B03"/>
    <w:rsid w:val="21AB55AD"/>
    <w:rsid w:val="21BC5F0D"/>
    <w:rsid w:val="21BD35BB"/>
    <w:rsid w:val="21C807E2"/>
    <w:rsid w:val="21DA1151"/>
    <w:rsid w:val="21E82409"/>
    <w:rsid w:val="21F037BA"/>
    <w:rsid w:val="2202548A"/>
    <w:rsid w:val="220F0880"/>
    <w:rsid w:val="221308B4"/>
    <w:rsid w:val="22230276"/>
    <w:rsid w:val="22242681"/>
    <w:rsid w:val="22263266"/>
    <w:rsid w:val="22336B52"/>
    <w:rsid w:val="22436092"/>
    <w:rsid w:val="22480A0C"/>
    <w:rsid w:val="22914A14"/>
    <w:rsid w:val="2299325D"/>
    <w:rsid w:val="229A3D0F"/>
    <w:rsid w:val="229C76D2"/>
    <w:rsid w:val="22AF6F91"/>
    <w:rsid w:val="22BA2B7C"/>
    <w:rsid w:val="22C811EE"/>
    <w:rsid w:val="22D44A18"/>
    <w:rsid w:val="22D67251"/>
    <w:rsid w:val="22E40935"/>
    <w:rsid w:val="22E554C6"/>
    <w:rsid w:val="22E77334"/>
    <w:rsid w:val="22EF01D9"/>
    <w:rsid w:val="22F726C6"/>
    <w:rsid w:val="22FB6E20"/>
    <w:rsid w:val="23072EE9"/>
    <w:rsid w:val="2309561C"/>
    <w:rsid w:val="230D6B74"/>
    <w:rsid w:val="231040EF"/>
    <w:rsid w:val="231F2D23"/>
    <w:rsid w:val="232E604F"/>
    <w:rsid w:val="23300170"/>
    <w:rsid w:val="23340145"/>
    <w:rsid w:val="233F2FBE"/>
    <w:rsid w:val="23401970"/>
    <w:rsid w:val="23413B6C"/>
    <w:rsid w:val="23501A8E"/>
    <w:rsid w:val="23617684"/>
    <w:rsid w:val="236B66B9"/>
    <w:rsid w:val="236E2D37"/>
    <w:rsid w:val="237277F4"/>
    <w:rsid w:val="237D03EE"/>
    <w:rsid w:val="23854A21"/>
    <w:rsid w:val="238700C4"/>
    <w:rsid w:val="23890D81"/>
    <w:rsid w:val="238A2C64"/>
    <w:rsid w:val="238E4B88"/>
    <w:rsid w:val="23937BEB"/>
    <w:rsid w:val="23962CDE"/>
    <w:rsid w:val="239C0BF5"/>
    <w:rsid w:val="23AD7ADF"/>
    <w:rsid w:val="23BF1511"/>
    <w:rsid w:val="23D32A75"/>
    <w:rsid w:val="23D51026"/>
    <w:rsid w:val="23DB214E"/>
    <w:rsid w:val="23E0306C"/>
    <w:rsid w:val="23E6555C"/>
    <w:rsid w:val="23E91088"/>
    <w:rsid w:val="23EF7607"/>
    <w:rsid w:val="24047F34"/>
    <w:rsid w:val="240609E4"/>
    <w:rsid w:val="240A0392"/>
    <w:rsid w:val="240A6427"/>
    <w:rsid w:val="241B77E2"/>
    <w:rsid w:val="24237C73"/>
    <w:rsid w:val="24274F3B"/>
    <w:rsid w:val="242A6F5E"/>
    <w:rsid w:val="24480A64"/>
    <w:rsid w:val="244961BD"/>
    <w:rsid w:val="244B153B"/>
    <w:rsid w:val="24571715"/>
    <w:rsid w:val="245A5E32"/>
    <w:rsid w:val="245D1C22"/>
    <w:rsid w:val="246D2C40"/>
    <w:rsid w:val="24826F08"/>
    <w:rsid w:val="24866705"/>
    <w:rsid w:val="24876A94"/>
    <w:rsid w:val="24894304"/>
    <w:rsid w:val="248A429E"/>
    <w:rsid w:val="24900F36"/>
    <w:rsid w:val="249447FB"/>
    <w:rsid w:val="24A27A45"/>
    <w:rsid w:val="24A93201"/>
    <w:rsid w:val="24B12753"/>
    <w:rsid w:val="24B22F4B"/>
    <w:rsid w:val="24BF395D"/>
    <w:rsid w:val="24C3557E"/>
    <w:rsid w:val="24C37742"/>
    <w:rsid w:val="24C972F7"/>
    <w:rsid w:val="24DC1854"/>
    <w:rsid w:val="24EE0053"/>
    <w:rsid w:val="24FF778F"/>
    <w:rsid w:val="25085C19"/>
    <w:rsid w:val="250F02BC"/>
    <w:rsid w:val="25113CAD"/>
    <w:rsid w:val="251528D3"/>
    <w:rsid w:val="251623C4"/>
    <w:rsid w:val="25182DF5"/>
    <w:rsid w:val="251B6B41"/>
    <w:rsid w:val="251F6A4C"/>
    <w:rsid w:val="252D6405"/>
    <w:rsid w:val="25340883"/>
    <w:rsid w:val="253D3D70"/>
    <w:rsid w:val="254E006E"/>
    <w:rsid w:val="254F323F"/>
    <w:rsid w:val="255206E5"/>
    <w:rsid w:val="255A18A9"/>
    <w:rsid w:val="256276C7"/>
    <w:rsid w:val="25653329"/>
    <w:rsid w:val="256C605F"/>
    <w:rsid w:val="256E0C5C"/>
    <w:rsid w:val="257B3718"/>
    <w:rsid w:val="25885EA6"/>
    <w:rsid w:val="259A11A5"/>
    <w:rsid w:val="259C12D4"/>
    <w:rsid w:val="259D50C3"/>
    <w:rsid w:val="25A14F8D"/>
    <w:rsid w:val="25B425EA"/>
    <w:rsid w:val="25BA0E2C"/>
    <w:rsid w:val="25C0050D"/>
    <w:rsid w:val="25DA2945"/>
    <w:rsid w:val="25DF7A87"/>
    <w:rsid w:val="25E66E63"/>
    <w:rsid w:val="25EF30A7"/>
    <w:rsid w:val="25F62792"/>
    <w:rsid w:val="26023EB5"/>
    <w:rsid w:val="26097C28"/>
    <w:rsid w:val="260C7592"/>
    <w:rsid w:val="26175BAE"/>
    <w:rsid w:val="2620783C"/>
    <w:rsid w:val="262B46FC"/>
    <w:rsid w:val="26383C76"/>
    <w:rsid w:val="263F1045"/>
    <w:rsid w:val="26416C9B"/>
    <w:rsid w:val="26426917"/>
    <w:rsid w:val="2645620E"/>
    <w:rsid w:val="265D38F8"/>
    <w:rsid w:val="265E24B4"/>
    <w:rsid w:val="26640192"/>
    <w:rsid w:val="267315E2"/>
    <w:rsid w:val="268338C0"/>
    <w:rsid w:val="268C4C67"/>
    <w:rsid w:val="268E67C9"/>
    <w:rsid w:val="269C55D7"/>
    <w:rsid w:val="269D0873"/>
    <w:rsid w:val="269E3E12"/>
    <w:rsid w:val="26A04B9F"/>
    <w:rsid w:val="26A11F18"/>
    <w:rsid w:val="26A62A21"/>
    <w:rsid w:val="26AD0C69"/>
    <w:rsid w:val="26B91EE4"/>
    <w:rsid w:val="26E5668F"/>
    <w:rsid w:val="26E6412B"/>
    <w:rsid w:val="26E779B0"/>
    <w:rsid w:val="26E91884"/>
    <w:rsid w:val="26E9439E"/>
    <w:rsid w:val="26EE4B6C"/>
    <w:rsid w:val="27055EA6"/>
    <w:rsid w:val="27124005"/>
    <w:rsid w:val="27211496"/>
    <w:rsid w:val="272643D0"/>
    <w:rsid w:val="272B031F"/>
    <w:rsid w:val="2730022D"/>
    <w:rsid w:val="2739405C"/>
    <w:rsid w:val="273E1466"/>
    <w:rsid w:val="27442BF6"/>
    <w:rsid w:val="274515B8"/>
    <w:rsid w:val="274B2157"/>
    <w:rsid w:val="275C01FE"/>
    <w:rsid w:val="27647DC8"/>
    <w:rsid w:val="27870F66"/>
    <w:rsid w:val="27882851"/>
    <w:rsid w:val="27911BD2"/>
    <w:rsid w:val="27963FF8"/>
    <w:rsid w:val="27A169C6"/>
    <w:rsid w:val="27A71AEF"/>
    <w:rsid w:val="27AB1969"/>
    <w:rsid w:val="27AB5299"/>
    <w:rsid w:val="27AC71ED"/>
    <w:rsid w:val="27D574B2"/>
    <w:rsid w:val="27DD2505"/>
    <w:rsid w:val="27F474AF"/>
    <w:rsid w:val="27FB704F"/>
    <w:rsid w:val="27FD57DC"/>
    <w:rsid w:val="27FE6FBB"/>
    <w:rsid w:val="28017754"/>
    <w:rsid w:val="2810400C"/>
    <w:rsid w:val="282D6836"/>
    <w:rsid w:val="2837367F"/>
    <w:rsid w:val="28396477"/>
    <w:rsid w:val="283F65E6"/>
    <w:rsid w:val="28434E43"/>
    <w:rsid w:val="28454195"/>
    <w:rsid w:val="284D091F"/>
    <w:rsid w:val="284D28B3"/>
    <w:rsid w:val="285D1634"/>
    <w:rsid w:val="28614F86"/>
    <w:rsid w:val="28750AAA"/>
    <w:rsid w:val="288950AF"/>
    <w:rsid w:val="289268C5"/>
    <w:rsid w:val="28A83F2E"/>
    <w:rsid w:val="28BA4B77"/>
    <w:rsid w:val="28BC4AC0"/>
    <w:rsid w:val="28C94BC5"/>
    <w:rsid w:val="28E27A18"/>
    <w:rsid w:val="28E33514"/>
    <w:rsid w:val="28EA6818"/>
    <w:rsid w:val="290118AA"/>
    <w:rsid w:val="29101A6E"/>
    <w:rsid w:val="291A029D"/>
    <w:rsid w:val="291C1BB4"/>
    <w:rsid w:val="291E2121"/>
    <w:rsid w:val="29233693"/>
    <w:rsid w:val="292755A8"/>
    <w:rsid w:val="292D5AEF"/>
    <w:rsid w:val="292E5EDB"/>
    <w:rsid w:val="295321C9"/>
    <w:rsid w:val="2953230C"/>
    <w:rsid w:val="29602B7A"/>
    <w:rsid w:val="29636D61"/>
    <w:rsid w:val="29662A04"/>
    <w:rsid w:val="296974FB"/>
    <w:rsid w:val="296F2670"/>
    <w:rsid w:val="29817428"/>
    <w:rsid w:val="299C5069"/>
    <w:rsid w:val="29A52698"/>
    <w:rsid w:val="29A701A6"/>
    <w:rsid w:val="29BB3EE7"/>
    <w:rsid w:val="29C61FED"/>
    <w:rsid w:val="29CB6DC4"/>
    <w:rsid w:val="29F5134D"/>
    <w:rsid w:val="29F55D64"/>
    <w:rsid w:val="2A022875"/>
    <w:rsid w:val="2A092EC2"/>
    <w:rsid w:val="2A0B194B"/>
    <w:rsid w:val="2A2120BA"/>
    <w:rsid w:val="2A221A47"/>
    <w:rsid w:val="2A2F59E2"/>
    <w:rsid w:val="2A420B23"/>
    <w:rsid w:val="2A46165D"/>
    <w:rsid w:val="2A486043"/>
    <w:rsid w:val="2A495750"/>
    <w:rsid w:val="2A517986"/>
    <w:rsid w:val="2A575267"/>
    <w:rsid w:val="2A642883"/>
    <w:rsid w:val="2A71440D"/>
    <w:rsid w:val="2A822CE7"/>
    <w:rsid w:val="2A8829F5"/>
    <w:rsid w:val="2A8A7327"/>
    <w:rsid w:val="2A9A34F5"/>
    <w:rsid w:val="2AB376F7"/>
    <w:rsid w:val="2AC4231F"/>
    <w:rsid w:val="2ACC5D3C"/>
    <w:rsid w:val="2ACD5A32"/>
    <w:rsid w:val="2ADB45A1"/>
    <w:rsid w:val="2AE45711"/>
    <w:rsid w:val="2AE5397C"/>
    <w:rsid w:val="2AF30527"/>
    <w:rsid w:val="2AFB7BDA"/>
    <w:rsid w:val="2B032039"/>
    <w:rsid w:val="2B0E13FA"/>
    <w:rsid w:val="2B1479EF"/>
    <w:rsid w:val="2B18166F"/>
    <w:rsid w:val="2B1A3FAE"/>
    <w:rsid w:val="2B1A5326"/>
    <w:rsid w:val="2B2D3D53"/>
    <w:rsid w:val="2B3B0E2E"/>
    <w:rsid w:val="2B403B27"/>
    <w:rsid w:val="2B43032B"/>
    <w:rsid w:val="2B442F32"/>
    <w:rsid w:val="2B595710"/>
    <w:rsid w:val="2B6E5432"/>
    <w:rsid w:val="2B7168A5"/>
    <w:rsid w:val="2B765924"/>
    <w:rsid w:val="2B77763E"/>
    <w:rsid w:val="2B81731F"/>
    <w:rsid w:val="2BA50E48"/>
    <w:rsid w:val="2BA761AE"/>
    <w:rsid w:val="2BAB4E2F"/>
    <w:rsid w:val="2BDC2502"/>
    <w:rsid w:val="2BE767BB"/>
    <w:rsid w:val="2BF3630A"/>
    <w:rsid w:val="2C00641A"/>
    <w:rsid w:val="2C067303"/>
    <w:rsid w:val="2C146524"/>
    <w:rsid w:val="2C2157E9"/>
    <w:rsid w:val="2C23495C"/>
    <w:rsid w:val="2C31070E"/>
    <w:rsid w:val="2C3724A2"/>
    <w:rsid w:val="2C422FF9"/>
    <w:rsid w:val="2C4416C6"/>
    <w:rsid w:val="2C443533"/>
    <w:rsid w:val="2C467E80"/>
    <w:rsid w:val="2C4B200D"/>
    <w:rsid w:val="2C4C552E"/>
    <w:rsid w:val="2C4E3B66"/>
    <w:rsid w:val="2C6017BC"/>
    <w:rsid w:val="2C785CB9"/>
    <w:rsid w:val="2C961D1A"/>
    <w:rsid w:val="2CA67E8A"/>
    <w:rsid w:val="2CB1562B"/>
    <w:rsid w:val="2CB4477D"/>
    <w:rsid w:val="2CBE1EF1"/>
    <w:rsid w:val="2CC31AB6"/>
    <w:rsid w:val="2CCC5638"/>
    <w:rsid w:val="2CD33B58"/>
    <w:rsid w:val="2CE16678"/>
    <w:rsid w:val="2CEB55AF"/>
    <w:rsid w:val="2CF3692C"/>
    <w:rsid w:val="2CFB72D0"/>
    <w:rsid w:val="2D1467DC"/>
    <w:rsid w:val="2D1933C8"/>
    <w:rsid w:val="2D287472"/>
    <w:rsid w:val="2D2F3244"/>
    <w:rsid w:val="2D32561E"/>
    <w:rsid w:val="2D3F781E"/>
    <w:rsid w:val="2D6E62FB"/>
    <w:rsid w:val="2D6F759D"/>
    <w:rsid w:val="2D7A3055"/>
    <w:rsid w:val="2D800F4B"/>
    <w:rsid w:val="2D900899"/>
    <w:rsid w:val="2D920215"/>
    <w:rsid w:val="2D9E03EC"/>
    <w:rsid w:val="2DB124BC"/>
    <w:rsid w:val="2DBA29FA"/>
    <w:rsid w:val="2DD96C9F"/>
    <w:rsid w:val="2DE361B3"/>
    <w:rsid w:val="2DEF1C78"/>
    <w:rsid w:val="2DF5076C"/>
    <w:rsid w:val="2DF62B52"/>
    <w:rsid w:val="2DFE5C95"/>
    <w:rsid w:val="2E0D5599"/>
    <w:rsid w:val="2E19498C"/>
    <w:rsid w:val="2E1C7D99"/>
    <w:rsid w:val="2E252533"/>
    <w:rsid w:val="2E2969AF"/>
    <w:rsid w:val="2E2F3C35"/>
    <w:rsid w:val="2E316B9C"/>
    <w:rsid w:val="2E3A73FF"/>
    <w:rsid w:val="2E41326D"/>
    <w:rsid w:val="2E474D78"/>
    <w:rsid w:val="2E4A07BB"/>
    <w:rsid w:val="2E4D38BA"/>
    <w:rsid w:val="2E584A20"/>
    <w:rsid w:val="2E5C0575"/>
    <w:rsid w:val="2E650424"/>
    <w:rsid w:val="2E661150"/>
    <w:rsid w:val="2E731F17"/>
    <w:rsid w:val="2E846E87"/>
    <w:rsid w:val="2E8915A0"/>
    <w:rsid w:val="2EAF62AC"/>
    <w:rsid w:val="2ED85904"/>
    <w:rsid w:val="2EE47AE2"/>
    <w:rsid w:val="2EE644C3"/>
    <w:rsid w:val="2EF7771A"/>
    <w:rsid w:val="2F001394"/>
    <w:rsid w:val="2F005D92"/>
    <w:rsid w:val="2F021BC4"/>
    <w:rsid w:val="2F0A191D"/>
    <w:rsid w:val="2F186FDC"/>
    <w:rsid w:val="2F1B0A20"/>
    <w:rsid w:val="2F251D87"/>
    <w:rsid w:val="2F2C2D8F"/>
    <w:rsid w:val="2F2F491A"/>
    <w:rsid w:val="2F3C351F"/>
    <w:rsid w:val="2F5153AE"/>
    <w:rsid w:val="2F595C82"/>
    <w:rsid w:val="2F5F442A"/>
    <w:rsid w:val="2F74170F"/>
    <w:rsid w:val="2F7B21C6"/>
    <w:rsid w:val="2F7B22CB"/>
    <w:rsid w:val="2F9B5E2C"/>
    <w:rsid w:val="2FA42E9B"/>
    <w:rsid w:val="2FA63CB1"/>
    <w:rsid w:val="2FA936D6"/>
    <w:rsid w:val="2FAE4ECA"/>
    <w:rsid w:val="2FB0396C"/>
    <w:rsid w:val="2FB76031"/>
    <w:rsid w:val="2FC61782"/>
    <w:rsid w:val="2FCC6E0B"/>
    <w:rsid w:val="2FCF3E4B"/>
    <w:rsid w:val="2FD474ED"/>
    <w:rsid w:val="2FDE72BE"/>
    <w:rsid w:val="2FEA5BB5"/>
    <w:rsid w:val="2FF25212"/>
    <w:rsid w:val="2FF2723C"/>
    <w:rsid w:val="2FF60C78"/>
    <w:rsid w:val="3002667D"/>
    <w:rsid w:val="30047793"/>
    <w:rsid w:val="300C42F8"/>
    <w:rsid w:val="300F499B"/>
    <w:rsid w:val="301D3B7F"/>
    <w:rsid w:val="301D7783"/>
    <w:rsid w:val="302937AF"/>
    <w:rsid w:val="30306342"/>
    <w:rsid w:val="303B42C7"/>
    <w:rsid w:val="304629A5"/>
    <w:rsid w:val="304B43F3"/>
    <w:rsid w:val="304D548B"/>
    <w:rsid w:val="30505C26"/>
    <w:rsid w:val="30572D2A"/>
    <w:rsid w:val="305C7755"/>
    <w:rsid w:val="305E1C23"/>
    <w:rsid w:val="307473AF"/>
    <w:rsid w:val="309F19DA"/>
    <w:rsid w:val="30A16871"/>
    <w:rsid w:val="30A515B0"/>
    <w:rsid w:val="30AD4AA3"/>
    <w:rsid w:val="30B76B67"/>
    <w:rsid w:val="30C621BF"/>
    <w:rsid w:val="30F949FE"/>
    <w:rsid w:val="310A032C"/>
    <w:rsid w:val="310D0430"/>
    <w:rsid w:val="311216A8"/>
    <w:rsid w:val="311D060B"/>
    <w:rsid w:val="3127393D"/>
    <w:rsid w:val="31372E03"/>
    <w:rsid w:val="313E2344"/>
    <w:rsid w:val="314013B2"/>
    <w:rsid w:val="3140700A"/>
    <w:rsid w:val="315656BD"/>
    <w:rsid w:val="31571F5E"/>
    <w:rsid w:val="31667D7C"/>
    <w:rsid w:val="316F3AAA"/>
    <w:rsid w:val="31745C10"/>
    <w:rsid w:val="31782873"/>
    <w:rsid w:val="31867875"/>
    <w:rsid w:val="318B68E5"/>
    <w:rsid w:val="318C7E64"/>
    <w:rsid w:val="319007F0"/>
    <w:rsid w:val="319B121E"/>
    <w:rsid w:val="31B21AA9"/>
    <w:rsid w:val="31B2739B"/>
    <w:rsid w:val="31C164B4"/>
    <w:rsid w:val="31C64F2B"/>
    <w:rsid w:val="31C8723D"/>
    <w:rsid w:val="31E04AFC"/>
    <w:rsid w:val="31E14023"/>
    <w:rsid w:val="31E73825"/>
    <w:rsid w:val="31EC35D1"/>
    <w:rsid w:val="31ED0EB2"/>
    <w:rsid w:val="31F57C1F"/>
    <w:rsid w:val="31F975A5"/>
    <w:rsid w:val="320B3A44"/>
    <w:rsid w:val="32105BDA"/>
    <w:rsid w:val="32171EEE"/>
    <w:rsid w:val="321C3D1A"/>
    <w:rsid w:val="3220194C"/>
    <w:rsid w:val="32216852"/>
    <w:rsid w:val="32277317"/>
    <w:rsid w:val="32304997"/>
    <w:rsid w:val="32385ACA"/>
    <w:rsid w:val="3265497B"/>
    <w:rsid w:val="32673A67"/>
    <w:rsid w:val="326963DB"/>
    <w:rsid w:val="326B6AC4"/>
    <w:rsid w:val="326D026B"/>
    <w:rsid w:val="328061A3"/>
    <w:rsid w:val="328B0A93"/>
    <w:rsid w:val="328C36AE"/>
    <w:rsid w:val="32964A96"/>
    <w:rsid w:val="3297062B"/>
    <w:rsid w:val="329B53EC"/>
    <w:rsid w:val="32A61DC7"/>
    <w:rsid w:val="32AF76E5"/>
    <w:rsid w:val="32B87D10"/>
    <w:rsid w:val="32BE6304"/>
    <w:rsid w:val="32C1790B"/>
    <w:rsid w:val="32D94C0C"/>
    <w:rsid w:val="32ED66C9"/>
    <w:rsid w:val="32F753FA"/>
    <w:rsid w:val="32FF7DD0"/>
    <w:rsid w:val="331032F0"/>
    <w:rsid w:val="331323A8"/>
    <w:rsid w:val="33203F94"/>
    <w:rsid w:val="33254FB4"/>
    <w:rsid w:val="332E7CAB"/>
    <w:rsid w:val="3346489C"/>
    <w:rsid w:val="33466049"/>
    <w:rsid w:val="33471386"/>
    <w:rsid w:val="334F75E1"/>
    <w:rsid w:val="335A0414"/>
    <w:rsid w:val="335A1EFB"/>
    <w:rsid w:val="336B4363"/>
    <w:rsid w:val="3376556C"/>
    <w:rsid w:val="337D4BEA"/>
    <w:rsid w:val="338908F6"/>
    <w:rsid w:val="338C5A18"/>
    <w:rsid w:val="338F0013"/>
    <w:rsid w:val="338F3D1E"/>
    <w:rsid w:val="339A5F76"/>
    <w:rsid w:val="33B268D4"/>
    <w:rsid w:val="33C21728"/>
    <w:rsid w:val="33C7382C"/>
    <w:rsid w:val="33D403CA"/>
    <w:rsid w:val="33DE0BA5"/>
    <w:rsid w:val="33E13B41"/>
    <w:rsid w:val="33E90D76"/>
    <w:rsid w:val="33F557A9"/>
    <w:rsid w:val="34054F23"/>
    <w:rsid w:val="34093B68"/>
    <w:rsid w:val="340A5285"/>
    <w:rsid w:val="342148B8"/>
    <w:rsid w:val="34381D95"/>
    <w:rsid w:val="34413D71"/>
    <w:rsid w:val="3443358A"/>
    <w:rsid w:val="344370A7"/>
    <w:rsid w:val="34454D8D"/>
    <w:rsid w:val="344D3963"/>
    <w:rsid w:val="34542FC9"/>
    <w:rsid w:val="346301EA"/>
    <w:rsid w:val="346761C1"/>
    <w:rsid w:val="346B59CA"/>
    <w:rsid w:val="346E6080"/>
    <w:rsid w:val="347459D9"/>
    <w:rsid w:val="347E22EB"/>
    <w:rsid w:val="348A00B1"/>
    <w:rsid w:val="34914EAF"/>
    <w:rsid w:val="349B4D1A"/>
    <w:rsid w:val="349C5381"/>
    <w:rsid w:val="34A01292"/>
    <w:rsid w:val="34A2728C"/>
    <w:rsid w:val="34AB1EE5"/>
    <w:rsid w:val="34C71375"/>
    <w:rsid w:val="34CD2F26"/>
    <w:rsid w:val="34D758D9"/>
    <w:rsid w:val="34DC29A6"/>
    <w:rsid w:val="34E83345"/>
    <w:rsid w:val="34EA5979"/>
    <w:rsid w:val="34EF1949"/>
    <w:rsid w:val="34FC7F18"/>
    <w:rsid w:val="34FF1105"/>
    <w:rsid w:val="34FF5905"/>
    <w:rsid w:val="351163CC"/>
    <w:rsid w:val="3514273D"/>
    <w:rsid w:val="351F0C34"/>
    <w:rsid w:val="352E1BAF"/>
    <w:rsid w:val="353B625D"/>
    <w:rsid w:val="354663FF"/>
    <w:rsid w:val="35467CA6"/>
    <w:rsid w:val="354F6C68"/>
    <w:rsid w:val="35547F7C"/>
    <w:rsid w:val="3563018F"/>
    <w:rsid w:val="35664FEE"/>
    <w:rsid w:val="358245BC"/>
    <w:rsid w:val="358B44BB"/>
    <w:rsid w:val="359A2BF7"/>
    <w:rsid w:val="359B0DB9"/>
    <w:rsid w:val="359B141C"/>
    <w:rsid w:val="359F04D8"/>
    <w:rsid w:val="35A6283E"/>
    <w:rsid w:val="35A655B2"/>
    <w:rsid w:val="35A71B59"/>
    <w:rsid w:val="35B04527"/>
    <w:rsid w:val="35B93785"/>
    <w:rsid w:val="35C13A78"/>
    <w:rsid w:val="35CB1ED4"/>
    <w:rsid w:val="35E73768"/>
    <w:rsid w:val="35ED2A69"/>
    <w:rsid w:val="35F36A87"/>
    <w:rsid w:val="35F556D3"/>
    <w:rsid w:val="35F86D1B"/>
    <w:rsid w:val="35FE4768"/>
    <w:rsid w:val="360C553E"/>
    <w:rsid w:val="360D715B"/>
    <w:rsid w:val="36242162"/>
    <w:rsid w:val="36273E27"/>
    <w:rsid w:val="362D4A25"/>
    <w:rsid w:val="363277AD"/>
    <w:rsid w:val="363B1FDB"/>
    <w:rsid w:val="36470927"/>
    <w:rsid w:val="364B3961"/>
    <w:rsid w:val="364E7466"/>
    <w:rsid w:val="366351F5"/>
    <w:rsid w:val="36646B60"/>
    <w:rsid w:val="36660542"/>
    <w:rsid w:val="367E2CAE"/>
    <w:rsid w:val="368B6F0A"/>
    <w:rsid w:val="369252AF"/>
    <w:rsid w:val="36935E25"/>
    <w:rsid w:val="369F2BF5"/>
    <w:rsid w:val="36C165DC"/>
    <w:rsid w:val="36C425D4"/>
    <w:rsid w:val="36D00CB7"/>
    <w:rsid w:val="36D43BEF"/>
    <w:rsid w:val="36EC3A88"/>
    <w:rsid w:val="37076156"/>
    <w:rsid w:val="370A6914"/>
    <w:rsid w:val="370F38F6"/>
    <w:rsid w:val="371D2D33"/>
    <w:rsid w:val="37270249"/>
    <w:rsid w:val="3734469C"/>
    <w:rsid w:val="373516D7"/>
    <w:rsid w:val="373C1454"/>
    <w:rsid w:val="37403E0B"/>
    <w:rsid w:val="37455AF1"/>
    <w:rsid w:val="37490753"/>
    <w:rsid w:val="374D6B56"/>
    <w:rsid w:val="37570617"/>
    <w:rsid w:val="375E78FE"/>
    <w:rsid w:val="37695624"/>
    <w:rsid w:val="376D18B1"/>
    <w:rsid w:val="37725534"/>
    <w:rsid w:val="37750ED5"/>
    <w:rsid w:val="37781C9B"/>
    <w:rsid w:val="377D5FFB"/>
    <w:rsid w:val="37A24C6D"/>
    <w:rsid w:val="37A754B5"/>
    <w:rsid w:val="37B63C23"/>
    <w:rsid w:val="37BC1ADE"/>
    <w:rsid w:val="37EC5A04"/>
    <w:rsid w:val="37F12135"/>
    <w:rsid w:val="37F83205"/>
    <w:rsid w:val="37FD4FD8"/>
    <w:rsid w:val="37FF447C"/>
    <w:rsid w:val="38046A31"/>
    <w:rsid w:val="380529A2"/>
    <w:rsid w:val="3807657F"/>
    <w:rsid w:val="380D6E5C"/>
    <w:rsid w:val="38137CF2"/>
    <w:rsid w:val="381C17A0"/>
    <w:rsid w:val="38222F60"/>
    <w:rsid w:val="38381E01"/>
    <w:rsid w:val="383D2DEA"/>
    <w:rsid w:val="3847161C"/>
    <w:rsid w:val="384A19AB"/>
    <w:rsid w:val="38587E33"/>
    <w:rsid w:val="385D1357"/>
    <w:rsid w:val="38852ECA"/>
    <w:rsid w:val="38863E2C"/>
    <w:rsid w:val="38916B40"/>
    <w:rsid w:val="38950932"/>
    <w:rsid w:val="389B6088"/>
    <w:rsid w:val="38AA2C1E"/>
    <w:rsid w:val="38AE5AFA"/>
    <w:rsid w:val="38B245A7"/>
    <w:rsid w:val="38B433B0"/>
    <w:rsid w:val="38B466B9"/>
    <w:rsid w:val="38C02BCE"/>
    <w:rsid w:val="38CA7E35"/>
    <w:rsid w:val="38D2074B"/>
    <w:rsid w:val="38DD3E5D"/>
    <w:rsid w:val="38DE002A"/>
    <w:rsid w:val="38E01A74"/>
    <w:rsid w:val="38E54549"/>
    <w:rsid w:val="38EA2F49"/>
    <w:rsid w:val="38EC0B9C"/>
    <w:rsid w:val="38F010AC"/>
    <w:rsid w:val="391577FE"/>
    <w:rsid w:val="391C7375"/>
    <w:rsid w:val="394F5519"/>
    <w:rsid w:val="39586839"/>
    <w:rsid w:val="395D08AC"/>
    <w:rsid w:val="3972058E"/>
    <w:rsid w:val="398A2C82"/>
    <w:rsid w:val="398E04B1"/>
    <w:rsid w:val="39A3599E"/>
    <w:rsid w:val="39AC3D3E"/>
    <w:rsid w:val="39AD285E"/>
    <w:rsid w:val="39AD78D6"/>
    <w:rsid w:val="39B134AB"/>
    <w:rsid w:val="39B36D67"/>
    <w:rsid w:val="39BC7CF6"/>
    <w:rsid w:val="39CC6A88"/>
    <w:rsid w:val="39D141AC"/>
    <w:rsid w:val="39DA5994"/>
    <w:rsid w:val="39EB6DB6"/>
    <w:rsid w:val="39F51B09"/>
    <w:rsid w:val="3A0E5740"/>
    <w:rsid w:val="3A163EAA"/>
    <w:rsid w:val="3A237AF5"/>
    <w:rsid w:val="3A3D3950"/>
    <w:rsid w:val="3A4100FC"/>
    <w:rsid w:val="3A410AB2"/>
    <w:rsid w:val="3A4F082F"/>
    <w:rsid w:val="3A505924"/>
    <w:rsid w:val="3A5847E3"/>
    <w:rsid w:val="3A587B8C"/>
    <w:rsid w:val="3A5E3022"/>
    <w:rsid w:val="3A5E6CA5"/>
    <w:rsid w:val="3A6E60B3"/>
    <w:rsid w:val="3A851ADA"/>
    <w:rsid w:val="3A9A42BF"/>
    <w:rsid w:val="3A9B6E39"/>
    <w:rsid w:val="3A9C0332"/>
    <w:rsid w:val="3AAE4935"/>
    <w:rsid w:val="3AC61D7C"/>
    <w:rsid w:val="3AC95655"/>
    <w:rsid w:val="3ACB67A4"/>
    <w:rsid w:val="3ACC0C5A"/>
    <w:rsid w:val="3AD6257C"/>
    <w:rsid w:val="3AE51D5E"/>
    <w:rsid w:val="3AE60026"/>
    <w:rsid w:val="3AEF3110"/>
    <w:rsid w:val="3AF13E25"/>
    <w:rsid w:val="3B01388B"/>
    <w:rsid w:val="3B0E7005"/>
    <w:rsid w:val="3B13079E"/>
    <w:rsid w:val="3B190706"/>
    <w:rsid w:val="3B263E13"/>
    <w:rsid w:val="3B296B23"/>
    <w:rsid w:val="3B300A51"/>
    <w:rsid w:val="3B480DDE"/>
    <w:rsid w:val="3B4D65FF"/>
    <w:rsid w:val="3B4E603B"/>
    <w:rsid w:val="3B5F4C79"/>
    <w:rsid w:val="3B60075F"/>
    <w:rsid w:val="3B673797"/>
    <w:rsid w:val="3B877974"/>
    <w:rsid w:val="3B9746C6"/>
    <w:rsid w:val="3BA86716"/>
    <w:rsid w:val="3BAD587D"/>
    <w:rsid w:val="3BC817C7"/>
    <w:rsid w:val="3BEE7F61"/>
    <w:rsid w:val="3BF46877"/>
    <w:rsid w:val="3BFD031E"/>
    <w:rsid w:val="3C023D3C"/>
    <w:rsid w:val="3C0438AD"/>
    <w:rsid w:val="3C0608D2"/>
    <w:rsid w:val="3C07344B"/>
    <w:rsid w:val="3C155A06"/>
    <w:rsid w:val="3C163E0E"/>
    <w:rsid w:val="3C2625E4"/>
    <w:rsid w:val="3C266211"/>
    <w:rsid w:val="3C31750B"/>
    <w:rsid w:val="3C325900"/>
    <w:rsid w:val="3C3C515E"/>
    <w:rsid w:val="3C436367"/>
    <w:rsid w:val="3C4C0120"/>
    <w:rsid w:val="3C551F17"/>
    <w:rsid w:val="3C696F19"/>
    <w:rsid w:val="3C6D23B4"/>
    <w:rsid w:val="3C71313B"/>
    <w:rsid w:val="3C751925"/>
    <w:rsid w:val="3C764D30"/>
    <w:rsid w:val="3C883F7E"/>
    <w:rsid w:val="3C8A52B9"/>
    <w:rsid w:val="3C9678A6"/>
    <w:rsid w:val="3C9E1A9B"/>
    <w:rsid w:val="3CAA44E1"/>
    <w:rsid w:val="3CAF1767"/>
    <w:rsid w:val="3CB006E9"/>
    <w:rsid w:val="3CBB1CDE"/>
    <w:rsid w:val="3CBD11E2"/>
    <w:rsid w:val="3CC0338E"/>
    <w:rsid w:val="3CC65D3D"/>
    <w:rsid w:val="3CD10A8F"/>
    <w:rsid w:val="3CF139AD"/>
    <w:rsid w:val="3D0523C8"/>
    <w:rsid w:val="3D0D448A"/>
    <w:rsid w:val="3D0D5883"/>
    <w:rsid w:val="3D146A5E"/>
    <w:rsid w:val="3D2F59BC"/>
    <w:rsid w:val="3D3303B7"/>
    <w:rsid w:val="3D341D34"/>
    <w:rsid w:val="3D386D13"/>
    <w:rsid w:val="3D4B11DE"/>
    <w:rsid w:val="3D4F4212"/>
    <w:rsid w:val="3D6167DA"/>
    <w:rsid w:val="3D703859"/>
    <w:rsid w:val="3D706CAB"/>
    <w:rsid w:val="3D7A01B7"/>
    <w:rsid w:val="3D8E1F87"/>
    <w:rsid w:val="3D9449F0"/>
    <w:rsid w:val="3DA5523D"/>
    <w:rsid w:val="3DA60625"/>
    <w:rsid w:val="3DA80AEB"/>
    <w:rsid w:val="3DCC529D"/>
    <w:rsid w:val="3DE14F92"/>
    <w:rsid w:val="3E02123D"/>
    <w:rsid w:val="3E023FAE"/>
    <w:rsid w:val="3E0B523A"/>
    <w:rsid w:val="3E11020C"/>
    <w:rsid w:val="3E180684"/>
    <w:rsid w:val="3E23239B"/>
    <w:rsid w:val="3E2E35C4"/>
    <w:rsid w:val="3E333ADD"/>
    <w:rsid w:val="3E3361E0"/>
    <w:rsid w:val="3E345B94"/>
    <w:rsid w:val="3E3A729E"/>
    <w:rsid w:val="3E402807"/>
    <w:rsid w:val="3E40775D"/>
    <w:rsid w:val="3E435E58"/>
    <w:rsid w:val="3E6C043A"/>
    <w:rsid w:val="3E6D3CF9"/>
    <w:rsid w:val="3E764598"/>
    <w:rsid w:val="3E7A643C"/>
    <w:rsid w:val="3E806FB0"/>
    <w:rsid w:val="3E912675"/>
    <w:rsid w:val="3E9348A0"/>
    <w:rsid w:val="3E993B9F"/>
    <w:rsid w:val="3E9F07C2"/>
    <w:rsid w:val="3EAC7B13"/>
    <w:rsid w:val="3EAF2D9D"/>
    <w:rsid w:val="3EB72C01"/>
    <w:rsid w:val="3EBB407B"/>
    <w:rsid w:val="3EE040C3"/>
    <w:rsid w:val="3EE54D66"/>
    <w:rsid w:val="3EF0751E"/>
    <w:rsid w:val="3EFB31AB"/>
    <w:rsid w:val="3EFF489D"/>
    <w:rsid w:val="3F0F3753"/>
    <w:rsid w:val="3F106414"/>
    <w:rsid w:val="3F144F2B"/>
    <w:rsid w:val="3F1652EA"/>
    <w:rsid w:val="3F266695"/>
    <w:rsid w:val="3F312DC3"/>
    <w:rsid w:val="3F4130D9"/>
    <w:rsid w:val="3F58125A"/>
    <w:rsid w:val="3F5E1CE0"/>
    <w:rsid w:val="3F6A76A9"/>
    <w:rsid w:val="3F6B410C"/>
    <w:rsid w:val="3F6E031C"/>
    <w:rsid w:val="3F882FD6"/>
    <w:rsid w:val="3F8E7502"/>
    <w:rsid w:val="3F95043D"/>
    <w:rsid w:val="3F953F78"/>
    <w:rsid w:val="3F975234"/>
    <w:rsid w:val="3FA470F8"/>
    <w:rsid w:val="3FAE3FC8"/>
    <w:rsid w:val="3FAE4156"/>
    <w:rsid w:val="3FB147CB"/>
    <w:rsid w:val="3FB22EAF"/>
    <w:rsid w:val="3FB45F58"/>
    <w:rsid w:val="3FBB3A33"/>
    <w:rsid w:val="3FBE3957"/>
    <w:rsid w:val="3FBE6B1C"/>
    <w:rsid w:val="3FBF7D90"/>
    <w:rsid w:val="3FC40EFB"/>
    <w:rsid w:val="3FC957D2"/>
    <w:rsid w:val="3FD46E9D"/>
    <w:rsid w:val="3FD85DB8"/>
    <w:rsid w:val="3FE05B83"/>
    <w:rsid w:val="3FE6660D"/>
    <w:rsid w:val="3FF82B89"/>
    <w:rsid w:val="3FFD6F07"/>
    <w:rsid w:val="400A07E6"/>
    <w:rsid w:val="40142A34"/>
    <w:rsid w:val="40187039"/>
    <w:rsid w:val="40291765"/>
    <w:rsid w:val="402C2CDE"/>
    <w:rsid w:val="403B2097"/>
    <w:rsid w:val="403D515E"/>
    <w:rsid w:val="40455C52"/>
    <w:rsid w:val="404972FC"/>
    <w:rsid w:val="407567DE"/>
    <w:rsid w:val="40772EC2"/>
    <w:rsid w:val="4079357A"/>
    <w:rsid w:val="40844F5C"/>
    <w:rsid w:val="408466A2"/>
    <w:rsid w:val="4086721E"/>
    <w:rsid w:val="408F1145"/>
    <w:rsid w:val="409F3685"/>
    <w:rsid w:val="40BB3189"/>
    <w:rsid w:val="40C05129"/>
    <w:rsid w:val="40C77663"/>
    <w:rsid w:val="40DC0A64"/>
    <w:rsid w:val="40E462CD"/>
    <w:rsid w:val="40E622BF"/>
    <w:rsid w:val="40F34397"/>
    <w:rsid w:val="41001F84"/>
    <w:rsid w:val="41026132"/>
    <w:rsid w:val="41165D63"/>
    <w:rsid w:val="411D0E58"/>
    <w:rsid w:val="41524F6A"/>
    <w:rsid w:val="41585DE4"/>
    <w:rsid w:val="415E582B"/>
    <w:rsid w:val="416567D4"/>
    <w:rsid w:val="41737C53"/>
    <w:rsid w:val="41774830"/>
    <w:rsid w:val="418438B4"/>
    <w:rsid w:val="41885210"/>
    <w:rsid w:val="418B6C14"/>
    <w:rsid w:val="419134F7"/>
    <w:rsid w:val="419E1F68"/>
    <w:rsid w:val="41A25305"/>
    <w:rsid w:val="41BA1E6A"/>
    <w:rsid w:val="41C05DCB"/>
    <w:rsid w:val="41C22915"/>
    <w:rsid w:val="41DE037B"/>
    <w:rsid w:val="41E01C04"/>
    <w:rsid w:val="41E3736D"/>
    <w:rsid w:val="41E854DA"/>
    <w:rsid w:val="41FD48CB"/>
    <w:rsid w:val="41FE022B"/>
    <w:rsid w:val="420341CE"/>
    <w:rsid w:val="420426BD"/>
    <w:rsid w:val="420531A6"/>
    <w:rsid w:val="42153AC9"/>
    <w:rsid w:val="421B00E0"/>
    <w:rsid w:val="4226357D"/>
    <w:rsid w:val="42264195"/>
    <w:rsid w:val="422E5D1B"/>
    <w:rsid w:val="42490003"/>
    <w:rsid w:val="424A629E"/>
    <w:rsid w:val="424E2FBB"/>
    <w:rsid w:val="42546537"/>
    <w:rsid w:val="425C20AF"/>
    <w:rsid w:val="425C5E96"/>
    <w:rsid w:val="426B0549"/>
    <w:rsid w:val="427E2EB0"/>
    <w:rsid w:val="428A3057"/>
    <w:rsid w:val="42923B7D"/>
    <w:rsid w:val="429426E2"/>
    <w:rsid w:val="42970B16"/>
    <w:rsid w:val="429D6327"/>
    <w:rsid w:val="42A15020"/>
    <w:rsid w:val="42AB52DC"/>
    <w:rsid w:val="42B06CE9"/>
    <w:rsid w:val="42C1494C"/>
    <w:rsid w:val="42C353F2"/>
    <w:rsid w:val="42D63375"/>
    <w:rsid w:val="42DF2C95"/>
    <w:rsid w:val="42DF5DD8"/>
    <w:rsid w:val="42E5483F"/>
    <w:rsid w:val="42F73173"/>
    <w:rsid w:val="42F917DA"/>
    <w:rsid w:val="43027B81"/>
    <w:rsid w:val="430D6B51"/>
    <w:rsid w:val="43184503"/>
    <w:rsid w:val="431A36BA"/>
    <w:rsid w:val="43236D78"/>
    <w:rsid w:val="432D71D9"/>
    <w:rsid w:val="434D79EC"/>
    <w:rsid w:val="435716DB"/>
    <w:rsid w:val="43593939"/>
    <w:rsid w:val="436B1CE0"/>
    <w:rsid w:val="436F7F1B"/>
    <w:rsid w:val="437C19D2"/>
    <w:rsid w:val="437C516A"/>
    <w:rsid w:val="438860E0"/>
    <w:rsid w:val="438B640A"/>
    <w:rsid w:val="43904540"/>
    <w:rsid w:val="43982987"/>
    <w:rsid w:val="43BE59F4"/>
    <w:rsid w:val="43C6729D"/>
    <w:rsid w:val="43D47D92"/>
    <w:rsid w:val="43DE34AF"/>
    <w:rsid w:val="43E4751D"/>
    <w:rsid w:val="43F22EDA"/>
    <w:rsid w:val="43F720F9"/>
    <w:rsid w:val="440438CE"/>
    <w:rsid w:val="440A1D94"/>
    <w:rsid w:val="44104851"/>
    <w:rsid w:val="44115119"/>
    <w:rsid w:val="441A3930"/>
    <w:rsid w:val="44291CED"/>
    <w:rsid w:val="442C32E3"/>
    <w:rsid w:val="442E5D00"/>
    <w:rsid w:val="4433789F"/>
    <w:rsid w:val="44354484"/>
    <w:rsid w:val="44361AB1"/>
    <w:rsid w:val="444773EB"/>
    <w:rsid w:val="4451750E"/>
    <w:rsid w:val="44685625"/>
    <w:rsid w:val="446A6206"/>
    <w:rsid w:val="446C0A54"/>
    <w:rsid w:val="447A5EC5"/>
    <w:rsid w:val="447D6DE2"/>
    <w:rsid w:val="4491621B"/>
    <w:rsid w:val="44946B49"/>
    <w:rsid w:val="44953B16"/>
    <w:rsid w:val="449E6704"/>
    <w:rsid w:val="44AC6EB7"/>
    <w:rsid w:val="44C5220B"/>
    <w:rsid w:val="44E071BB"/>
    <w:rsid w:val="44E93C92"/>
    <w:rsid w:val="44EA51B9"/>
    <w:rsid w:val="44ED3C39"/>
    <w:rsid w:val="44EF5ACB"/>
    <w:rsid w:val="44F522C1"/>
    <w:rsid w:val="44F63FF4"/>
    <w:rsid w:val="45072AFB"/>
    <w:rsid w:val="4519742D"/>
    <w:rsid w:val="45247F1F"/>
    <w:rsid w:val="452A4C8C"/>
    <w:rsid w:val="45450F6F"/>
    <w:rsid w:val="45A40C20"/>
    <w:rsid w:val="45B64173"/>
    <w:rsid w:val="45C25504"/>
    <w:rsid w:val="45C64190"/>
    <w:rsid w:val="45D90C0B"/>
    <w:rsid w:val="45EA6914"/>
    <w:rsid w:val="45F015DD"/>
    <w:rsid w:val="460462DB"/>
    <w:rsid w:val="461F3D43"/>
    <w:rsid w:val="462B7963"/>
    <w:rsid w:val="462D2F50"/>
    <w:rsid w:val="46357E32"/>
    <w:rsid w:val="46381AF0"/>
    <w:rsid w:val="464A2387"/>
    <w:rsid w:val="464A3B2D"/>
    <w:rsid w:val="464F287F"/>
    <w:rsid w:val="46542590"/>
    <w:rsid w:val="46595ECF"/>
    <w:rsid w:val="465D5B2A"/>
    <w:rsid w:val="46673B4F"/>
    <w:rsid w:val="46895883"/>
    <w:rsid w:val="46A5132D"/>
    <w:rsid w:val="46BA704D"/>
    <w:rsid w:val="46C01665"/>
    <w:rsid w:val="46C20906"/>
    <w:rsid w:val="46CF3A6F"/>
    <w:rsid w:val="46EE18AB"/>
    <w:rsid w:val="472236C6"/>
    <w:rsid w:val="472B5A88"/>
    <w:rsid w:val="472D0238"/>
    <w:rsid w:val="47327CAA"/>
    <w:rsid w:val="47450F1C"/>
    <w:rsid w:val="474B05F7"/>
    <w:rsid w:val="474F1463"/>
    <w:rsid w:val="475A5034"/>
    <w:rsid w:val="475D6DC6"/>
    <w:rsid w:val="47654001"/>
    <w:rsid w:val="47673E62"/>
    <w:rsid w:val="477A1547"/>
    <w:rsid w:val="47920555"/>
    <w:rsid w:val="479754E3"/>
    <w:rsid w:val="47990D17"/>
    <w:rsid w:val="47B90903"/>
    <w:rsid w:val="47D665A1"/>
    <w:rsid w:val="47DD411A"/>
    <w:rsid w:val="47E052B6"/>
    <w:rsid w:val="47E14272"/>
    <w:rsid w:val="47E31EBC"/>
    <w:rsid w:val="47EB03EA"/>
    <w:rsid w:val="47F72109"/>
    <w:rsid w:val="48154210"/>
    <w:rsid w:val="481B3748"/>
    <w:rsid w:val="48217617"/>
    <w:rsid w:val="482B1787"/>
    <w:rsid w:val="4836172A"/>
    <w:rsid w:val="48401C20"/>
    <w:rsid w:val="484546C8"/>
    <w:rsid w:val="484940B0"/>
    <w:rsid w:val="484B15B1"/>
    <w:rsid w:val="484E2A7A"/>
    <w:rsid w:val="48536D66"/>
    <w:rsid w:val="485645D2"/>
    <w:rsid w:val="48581DAD"/>
    <w:rsid w:val="485A774E"/>
    <w:rsid w:val="486E7207"/>
    <w:rsid w:val="48746B38"/>
    <w:rsid w:val="487A3459"/>
    <w:rsid w:val="487C7FDA"/>
    <w:rsid w:val="488235EE"/>
    <w:rsid w:val="48853577"/>
    <w:rsid w:val="48926E2B"/>
    <w:rsid w:val="48967DCE"/>
    <w:rsid w:val="489927D6"/>
    <w:rsid w:val="489C598B"/>
    <w:rsid w:val="48A30488"/>
    <w:rsid w:val="48B20397"/>
    <w:rsid w:val="48BE1480"/>
    <w:rsid w:val="48CB37E2"/>
    <w:rsid w:val="48D47801"/>
    <w:rsid w:val="48E364F3"/>
    <w:rsid w:val="48F36078"/>
    <w:rsid w:val="48F579CF"/>
    <w:rsid w:val="49161E55"/>
    <w:rsid w:val="492D0BE2"/>
    <w:rsid w:val="49370D3C"/>
    <w:rsid w:val="49426EF8"/>
    <w:rsid w:val="496114F1"/>
    <w:rsid w:val="49632EE1"/>
    <w:rsid w:val="4964023E"/>
    <w:rsid w:val="496E08E5"/>
    <w:rsid w:val="497614EE"/>
    <w:rsid w:val="497B5415"/>
    <w:rsid w:val="499500B6"/>
    <w:rsid w:val="499F5931"/>
    <w:rsid w:val="49AB7035"/>
    <w:rsid w:val="49C92672"/>
    <w:rsid w:val="49C94B18"/>
    <w:rsid w:val="49C95014"/>
    <w:rsid w:val="49DB2589"/>
    <w:rsid w:val="49DC21AA"/>
    <w:rsid w:val="49E060C7"/>
    <w:rsid w:val="49E26AD1"/>
    <w:rsid w:val="49F14C10"/>
    <w:rsid w:val="4A041B69"/>
    <w:rsid w:val="4A072AB4"/>
    <w:rsid w:val="4A08454D"/>
    <w:rsid w:val="4A09359D"/>
    <w:rsid w:val="4A241422"/>
    <w:rsid w:val="4A2A6456"/>
    <w:rsid w:val="4A2B1CAE"/>
    <w:rsid w:val="4A305D09"/>
    <w:rsid w:val="4A3A3460"/>
    <w:rsid w:val="4A467740"/>
    <w:rsid w:val="4A560849"/>
    <w:rsid w:val="4A5B426C"/>
    <w:rsid w:val="4A726CB2"/>
    <w:rsid w:val="4A876E48"/>
    <w:rsid w:val="4A881B07"/>
    <w:rsid w:val="4A897376"/>
    <w:rsid w:val="4A8C1C10"/>
    <w:rsid w:val="4A9E308C"/>
    <w:rsid w:val="4AAC6ACF"/>
    <w:rsid w:val="4AB42EE9"/>
    <w:rsid w:val="4AB93CF8"/>
    <w:rsid w:val="4AC20D48"/>
    <w:rsid w:val="4AC35357"/>
    <w:rsid w:val="4ACC7FA7"/>
    <w:rsid w:val="4AE13198"/>
    <w:rsid w:val="4AEC327C"/>
    <w:rsid w:val="4AEF0772"/>
    <w:rsid w:val="4AF3331F"/>
    <w:rsid w:val="4B195A48"/>
    <w:rsid w:val="4B1A131F"/>
    <w:rsid w:val="4B200795"/>
    <w:rsid w:val="4B252D0D"/>
    <w:rsid w:val="4B302EB9"/>
    <w:rsid w:val="4B3830B8"/>
    <w:rsid w:val="4B4118D1"/>
    <w:rsid w:val="4B5E74E0"/>
    <w:rsid w:val="4B617C5C"/>
    <w:rsid w:val="4B6638A5"/>
    <w:rsid w:val="4B6E1664"/>
    <w:rsid w:val="4B7677B8"/>
    <w:rsid w:val="4B951C22"/>
    <w:rsid w:val="4BA733B7"/>
    <w:rsid w:val="4BAC0532"/>
    <w:rsid w:val="4BAD5FFB"/>
    <w:rsid w:val="4BB01EFB"/>
    <w:rsid w:val="4BD473CB"/>
    <w:rsid w:val="4BD72CCE"/>
    <w:rsid w:val="4BE56B55"/>
    <w:rsid w:val="4BF36FE5"/>
    <w:rsid w:val="4BF73FA9"/>
    <w:rsid w:val="4BFE29C8"/>
    <w:rsid w:val="4C0114B5"/>
    <w:rsid w:val="4C101556"/>
    <w:rsid w:val="4C274D59"/>
    <w:rsid w:val="4C3C0B94"/>
    <w:rsid w:val="4C480F04"/>
    <w:rsid w:val="4C484102"/>
    <w:rsid w:val="4C521727"/>
    <w:rsid w:val="4C55603E"/>
    <w:rsid w:val="4C5839CD"/>
    <w:rsid w:val="4C665E2C"/>
    <w:rsid w:val="4C675E56"/>
    <w:rsid w:val="4C737C80"/>
    <w:rsid w:val="4C8921B1"/>
    <w:rsid w:val="4C8E4097"/>
    <w:rsid w:val="4C9105B5"/>
    <w:rsid w:val="4C9633E9"/>
    <w:rsid w:val="4C976133"/>
    <w:rsid w:val="4C9D57EA"/>
    <w:rsid w:val="4CAA295C"/>
    <w:rsid w:val="4CB43595"/>
    <w:rsid w:val="4CB75CF2"/>
    <w:rsid w:val="4CCF2F2C"/>
    <w:rsid w:val="4CD05A56"/>
    <w:rsid w:val="4CD3133F"/>
    <w:rsid w:val="4CD45AC9"/>
    <w:rsid w:val="4CD8378E"/>
    <w:rsid w:val="4CF12DAD"/>
    <w:rsid w:val="4CFA295C"/>
    <w:rsid w:val="4D007F3C"/>
    <w:rsid w:val="4D060B5B"/>
    <w:rsid w:val="4D0902DC"/>
    <w:rsid w:val="4D10319D"/>
    <w:rsid w:val="4D156B12"/>
    <w:rsid w:val="4D1C3A6D"/>
    <w:rsid w:val="4D216C65"/>
    <w:rsid w:val="4D2321BC"/>
    <w:rsid w:val="4D2B33AE"/>
    <w:rsid w:val="4D3D1082"/>
    <w:rsid w:val="4D4023CD"/>
    <w:rsid w:val="4D504C27"/>
    <w:rsid w:val="4D5640CC"/>
    <w:rsid w:val="4D574617"/>
    <w:rsid w:val="4D5C75C3"/>
    <w:rsid w:val="4D616CA9"/>
    <w:rsid w:val="4D641E2B"/>
    <w:rsid w:val="4D680163"/>
    <w:rsid w:val="4D6D4849"/>
    <w:rsid w:val="4D6E4D7A"/>
    <w:rsid w:val="4D765068"/>
    <w:rsid w:val="4D7B6ABA"/>
    <w:rsid w:val="4D7D3AB2"/>
    <w:rsid w:val="4D922638"/>
    <w:rsid w:val="4D9E5B84"/>
    <w:rsid w:val="4DA35DA3"/>
    <w:rsid w:val="4DAE04C0"/>
    <w:rsid w:val="4DC128FD"/>
    <w:rsid w:val="4DC96CAD"/>
    <w:rsid w:val="4DCB55B7"/>
    <w:rsid w:val="4DCD1C80"/>
    <w:rsid w:val="4DD41E32"/>
    <w:rsid w:val="4DD77F9D"/>
    <w:rsid w:val="4DDB67E7"/>
    <w:rsid w:val="4DE75961"/>
    <w:rsid w:val="4DE77C05"/>
    <w:rsid w:val="4DFA094C"/>
    <w:rsid w:val="4E0423E8"/>
    <w:rsid w:val="4E0F253F"/>
    <w:rsid w:val="4E150987"/>
    <w:rsid w:val="4E197FF1"/>
    <w:rsid w:val="4E1C357A"/>
    <w:rsid w:val="4E231EFA"/>
    <w:rsid w:val="4E265FFB"/>
    <w:rsid w:val="4E276DA0"/>
    <w:rsid w:val="4E2D6578"/>
    <w:rsid w:val="4E5457CE"/>
    <w:rsid w:val="4E707542"/>
    <w:rsid w:val="4E79364B"/>
    <w:rsid w:val="4E7D5303"/>
    <w:rsid w:val="4E833350"/>
    <w:rsid w:val="4E9573E7"/>
    <w:rsid w:val="4E9F5659"/>
    <w:rsid w:val="4EAE4549"/>
    <w:rsid w:val="4EB92DB3"/>
    <w:rsid w:val="4EBF4682"/>
    <w:rsid w:val="4ECD0C68"/>
    <w:rsid w:val="4ECE7D18"/>
    <w:rsid w:val="4ED85773"/>
    <w:rsid w:val="4EE307F5"/>
    <w:rsid w:val="4EE80AF5"/>
    <w:rsid w:val="4EEA1301"/>
    <w:rsid w:val="4F027DCD"/>
    <w:rsid w:val="4F087F11"/>
    <w:rsid w:val="4F1F5572"/>
    <w:rsid w:val="4F235A7E"/>
    <w:rsid w:val="4F2864B4"/>
    <w:rsid w:val="4F307AFE"/>
    <w:rsid w:val="4F347D83"/>
    <w:rsid w:val="4F3626CC"/>
    <w:rsid w:val="4F372E67"/>
    <w:rsid w:val="4F392A83"/>
    <w:rsid w:val="4F3B2587"/>
    <w:rsid w:val="4F475F1E"/>
    <w:rsid w:val="4F4978FE"/>
    <w:rsid w:val="4F54239E"/>
    <w:rsid w:val="4F56223C"/>
    <w:rsid w:val="4F5F6ABA"/>
    <w:rsid w:val="4F6E1444"/>
    <w:rsid w:val="4F7E319F"/>
    <w:rsid w:val="4F852892"/>
    <w:rsid w:val="4F8A2175"/>
    <w:rsid w:val="4F8C0582"/>
    <w:rsid w:val="4F932446"/>
    <w:rsid w:val="4F9C74E3"/>
    <w:rsid w:val="4FBD6FCD"/>
    <w:rsid w:val="4FC455BF"/>
    <w:rsid w:val="4FC66532"/>
    <w:rsid w:val="4FCB56D1"/>
    <w:rsid w:val="4FDF58C0"/>
    <w:rsid w:val="4FE96744"/>
    <w:rsid w:val="4FEE5304"/>
    <w:rsid w:val="4FF91458"/>
    <w:rsid w:val="4FF94DD0"/>
    <w:rsid w:val="4FFD0E29"/>
    <w:rsid w:val="4FFF65B7"/>
    <w:rsid w:val="500A6D66"/>
    <w:rsid w:val="501877C4"/>
    <w:rsid w:val="50263523"/>
    <w:rsid w:val="502B3A9C"/>
    <w:rsid w:val="503C07CD"/>
    <w:rsid w:val="503D2442"/>
    <w:rsid w:val="504515B0"/>
    <w:rsid w:val="5046695E"/>
    <w:rsid w:val="504E1853"/>
    <w:rsid w:val="50557173"/>
    <w:rsid w:val="505F2F37"/>
    <w:rsid w:val="50646397"/>
    <w:rsid w:val="50646AD9"/>
    <w:rsid w:val="507149C0"/>
    <w:rsid w:val="50805EA7"/>
    <w:rsid w:val="50807074"/>
    <w:rsid w:val="50861BA6"/>
    <w:rsid w:val="50864200"/>
    <w:rsid w:val="5087616E"/>
    <w:rsid w:val="509B77BD"/>
    <w:rsid w:val="509C4F51"/>
    <w:rsid w:val="50A27EF3"/>
    <w:rsid w:val="50A44F0A"/>
    <w:rsid w:val="50AA6215"/>
    <w:rsid w:val="50AE191E"/>
    <w:rsid w:val="50B14D89"/>
    <w:rsid w:val="50B21043"/>
    <w:rsid w:val="50BF04A1"/>
    <w:rsid w:val="50C47F48"/>
    <w:rsid w:val="50D2616F"/>
    <w:rsid w:val="50D537DF"/>
    <w:rsid w:val="50E11651"/>
    <w:rsid w:val="50E42651"/>
    <w:rsid w:val="50F50332"/>
    <w:rsid w:val="50FC0052"/>
    <w:rsid w:val="50FC527D"/>
    <w:rsid w:val="510605D2"/>
    <w:rsid w:val="510842E7"/>
    <w:rsid w:val="510D340E"/>
    <w:rsid w:val="51185ACB"/>
    <w:rsid w:val="512D0091"/>
    <w:rsid w:val="512E1A66"/>
    <w:rsid w:val="513522FD"/>
    <w:rsid w:val="513D7E41"/>
    <w:rsid w:val="5147254E"/>
    <w:rsid w:val="514A42B6"/>
    <w:rsid w:val="51507003"/>
    <w:rsid w:val="515574E3"/>
    <w:rsid w:val="515A45C0"/>
    <w:rsid w:val="51692149"/>
    <w:rsid w:val="516A4780"/>
    <w:rsid w:val="516A75D6"/>
    <w:rsid w:val="51783644"/>
    <w:rsid w:val="517D01C7"/>
    <w:rsid w:val="51846000"/>
    <w:rsid w:val="518C3E23"/>
    <w:rsid w:val="51922557"/>
    <w:rsid w:val="519939BE"/>
    <w:rsid w:val="51A54069"/>
    <w:rsid w:val="51B1707A"/>
    <w:rsid w:val="51C372B8"/>
    <w:rsid w:val="51C62297"/>
    <w:rsid w:val="51C623A0"/>
    <w:rsid w:val="51CE73EF"/>
    <w:rsid w:val="51FE704A"/>
    <w:rsid w:val="52122A9A"/>
    <w:rsid w:val="52143E79"/>
    <w:rsid w:val="521F6F10"/>
    <w:rsid w:val="52276970"/>
    <w:rsid w:val="52401D94"/>
    <w:rsid w:val="524D05C2"/>
    <w:rsid w:val="524D0D50"/>
    <w:rsid w:val="524F7FCC"/>
    <w:rsid w:val="52733170"/>
    <w:rsid w:val="52791A83"/>
    <w:rsid w:val="528713B3"/>
    <w:rsid w:val="52884D09"/>
    <w:rsid w:val="529238D1"/>
    <w:rsid w:val="52AB31F3"/>
    <w:rsid w:val="52B94DD1"/>
    <w:rsid w:val="52BD0CC3"/>
    <w:rsid w:val="52FA0369"/>
    <w:rsid w:val="530B68A5"/>
    <w:rsid w:val="530E6C76"/>
    <w:rsid w:val="531B51EB"/>
    <w:rsid w:val="5322518C"/>
    <w:rsid w:val="53282ECE"/>
    <w:rsid w:val="53341C4D"/>
    <w:rsid w:val="533A4D44"/>
    <w:rsid w:val="533C7549"/>
    <w:rsid w:val="53451009"/>
    <w:rsid w:val="53503C89"/>
    <w:rsid w:val="53570A76"/>
    <w:rsid w:val="53694784"/>
    <w:rsid w:val="537151A7"/>
    <w:rsid w:val="53786959"/>
    <w:rsid w:val="537C6CFE"/>
    <w:rsid w:val="538E4330"/>
    <w:rsid w:val="53924718"/>
    <w:rsid w:val="539D63E9"/>
    <w:rsid w:val="53B726F8"/>
    <w:rsid w:val="53BD6C64"/>
    <w:rsid w:val="53C079DE"/>
    <w:rsid w:val="53D043AA"/>
    <w:rsid w:val="53D71FFE"/>
    <w:rsid w:val="53E33FBB"/>
    <w:rsid w:val="53F260D7"/>
    <w:rsid w:val="53FF28BD"/>
    <w:rsid w:val="54084796"/>
    <w:rsid w:val="54120ED0"/>
    <w:rsid w:val="541267C9"/>
    <w:rsid w:val="542F26B7"/>
    <w:rsid w:val="54301240"/>
    <w:rsid w:val="54393430"/>
    <w:rsid w:val="543C37E9"/>
    <w:rsid w:val="544606F4"/>
    <w:rsid w:val="5450072F"/>
    <w:rsid w:val="545F2226"/>
    <w:rsid w:val="546C52AF"/>
    <w:rsid w:val="54791AFF"/>
    <w:rsid w:val="54836614"/>
    <w:rsid w:val="54957B25"/>
    <w:rsid w:val="54A3550C"/>
    <w:rsid w:val="54A42828"/>
    <w:rsid w:val="54A55FC7"/>
    <w:rsid w:val="54A57523"/>
    <w:rsid w:val="54BD4C14"/>
    <w:rsid w:val="54C61583"/>
    <w:rsid w:val="54C757F6"/>
    <w:rsid w:val="54CD0861"/>
    <w:rsid w:val="54DB4E01"/>
    <w:rsid w:val="54E4068E"/>
    <w:rsid w:val="550F7E94"/>
    <w:rsid w:val="551743A2"/>
    <w:rsid w:val="55272642"/>
    <w:rsid w:val="552F6292"/>
    <w:rsid w:val="5549216A"/>
    <w:rsid w:val="554D243C"/>
    <w:rsid w:val="555826EB"/>
    <w:rsid w:val="555A4C46"/>
    <w:rsid w:val="555A64AB"/>
    <w:rsid w:val="555D7928"/>
    <w:rsid w:val="55602718"/>
    <w:rsid w:val="55605EA9"/>
    <w:rsid w:val="556A056A"/>
    <w:rsid w:val="55843CBB"/>
    <w:rsid w:val="558B4BE0"/>
    <w:rsid w:val="55930E95"/>
    <w:rsid w:val="55B4720A"/>
    <w:rsid w:val="55BC1527"/>
    <w:rsid w:val="55D674C1"/>
    <w:rsid w:val="55D858B8"/>
    <w:rsid w:val="55F605B8"/>
    <w:rsid w:val="55F92168"/>
    <w:rsid w:val="55F93CEF"/>
    <w:rsid w:val="55FB48E4"/>
    <w:rsid w:val="55FD032E"/>
    <w:rsid w:val="56083DDF"/>
    <w:rsid w:val="56111A42"/>
    <w:rsid w:val="56162A54"/>
    <w:rsid w:val="56182C10"/>
    <w:rsid w:val="56254E8A"/>
    <w:rsid w:val="5626649C"/>
    <w:rsid w:val="562876B9"/>
    <w:rsid w:val="564326EB"/>
    <w:rsid w:val="56533401"/>
    <w:rsid w:val="56674706"/>
    <w:rsid w:val="56772073"/>
    <w:rsid w:val="567E482A"/>
    <w:rsid w:val="567F650C"/>
    <w:rsid w:val="5681008A"/>
    <w:rsid w:val="56925B6A"/>
    <w:rsid w:val="56A27BA1"/>
    <w:rsid w:val="56CC3245"/>
    <w:rsid w:val="56D6630D"/>
    <w:rsid w:val="56D92BB9"/>
    <w:rsid w:val="56DE0327"/>
    <w:rsid w:val="56EA4CF6"/>
    <w:rsid w:val="56EB6E8E"/>
    <w:rsid w:val="56EF6D3B"/>
    <w:rsid w:val="57027924"/>
    <w:rsid w:val="57046C29"/>
    <w:rsid w:val="571357B2"/>
    <w:rsid w:val="571A1721"/>
    <w:rsid w:val="573A56D8"/>
    <w:rsid w:val="5745449A"/>
    <w:rsid w:val="5759301C"/>
    <w:rsid w:val="576C2EF7"/>
    <w:rsid w:val="57745D73"/>
    <w:rsid w:val="57746E7D"/>
    <w:rsid w:val="577B47C6"/>
    <w:rsid w:val="577C5074"/>
    <w:rsid w:val="577C7F2C"/>
    <w:rsid w:val="57953003"/>
    <w:rsid w:val="579D79A7"/>
    <w:rsid w:val="57AF54E8"/>
    <w:rsid w:val="57B3481A"/>
    <w:rsid w:val="57B805B7"/>
    <w:rsid w:val="57D603C5"/>
    <w:rsid w:val="57D869F3"/>
    <w:rsid w:val="57DA76FC"/>
    <w:rsid w:val="57DD0569"/>
    <w:rsid w:val="57DE7B5E"/>
    <w:rsid w:val="57E41558"/>
    <w:rsid w:val="57E804DC"/>
    <w:rsid w:val="57ED572A"/>
    <w:rsid w:val="57EF3E74"/>
    <w:rsid w:val="57F42C33"/>
    <w:rsid w:val="57F6254A"/>
    <w:rsid w:val="58021C27"/>
    <w:rsid w:val="580D0D9E"/>
    <w:rsid w:val="581201D1"/>
    <w:rsid w:val="581B4B57"/>
    <w:rsid w:val="5829147E"/>
    <w:rsid w:val="583312C2"/>
    <w:rsid w:val="584C4ECF"/>
    <w:rsid w:val="58730A41"/>
    <w:rsid w:val="5877020B"/>
    <w:rsid w:val="589940FF"/>
    <w:rsid w:val="589E3A7C"/>
    <w:rsid w:val="58AF3627"/>
    <w:rsid w:val="58B24CE2"/>
    <w:rsid w:val="58D5798D"/>
    <w:rsid w:val="58F3608A"/>
    <w:rsid w:val="58F754C5"/>
    <w:rsid w:val="59231590"/>
    <w:rsid w:val="592C6400"/>
    <w:rsid w:val="59341E39"/>
    <w:rsid w:val="59433750"/>
    <w:rsid w:val="59517D34"/>
    <w:rsid w:val="595250B9"/>
    <w:rsid w:val="59542F23"/>
    <w:rsid w:val="5955698A"/>
    <w:rsid w:val="595C6AC3"/>
    <w:rsid w:val="59641C55"/>
    <w:rsid w:val="598560C5"/>
    <w:rsid w:val="5987657C"/>
    <w:rsid w:val="598801B5"/>
    <w:rsid w:val="59A37D1A"/>
    <w:rsid w:val="59A73C63"/>
    <w:rsid w:val="59B30067"/>
    <w:rsid w:val="59C92A8F"/>
    <w:rsid w:val="59CD45FC"/>
    <w:rsid w:val="59CD688C"/>
    <w:rsid w:val="59D17A58"/>
    <w:rsid w:val="59DB5DB0"/>
    <w:rsid w:val="59E05976"/>
    <w:rsid w:val="59E824B1"/>
    <w:rsid w:val="59ED228C"/>
    <w:rsid w:val="59FB64BA"/>
    <w:rsid w:val="5A0738AD"/>
    <w:rsid w:val="5A095A2E"/>
    <w:rsid w:val="5A0B5205"/>
    <w:rsid w:val="5A2164BA"/>
    <w:rsid w:val="5A242A30"/>
    <w:rsid w:val="5A251819"/>
    <w:rsid w:val="5A260D07"/>
    <w:rsid w:val="5A280483"/>
    <w:rsid w:val="5A2D36C7"/>
    <w:rsid w:val="5A35223C"/>
    <w:rsid w:val="5A3B3D4B"/>
    <w:rsid w:val="5A507A2B"/>
    <w:rsid w:val="5A5426A8"/>
    <w:rsid w:val="5A655021"/>
    <w:rsid w:val="5A845D6D"/>
    <w:rsid w:val="5AAE3FAD"/>
    <w:rsid w:val="5AB27E29"/>
    <w:rsid w:val="5AB945A7"/>
    <w:rsid w:val="5ABA3412"/>
    <w:rsid w:val="5AD02BB7"/>
    <w:rsid w:val="5AD35737"/>
    <w:rsid w:val="5AE04DFD"/>
    <w:rsid w:val="5AE36E43"/>
    <w:rsid w:val="5AE83D23"/>
    <w:rsid w:val="5AFE037F"/>
    <w:rsid w:val="5B053065"/>
    <w:rsid w:val="5B0E2807"/>
    <w:rsid w:val="5B173A9F"/>
    <w:rsid w:val="5B1E05AC"/>
    <w:rsid w:val="5B24408F"/>
    <w:rsid w:val="5B3102F2"/>
    <w:rsid w:val="5B337406"/>
    <w:rsid w:val="5B350F27"/>
    <w:rsid w:val="5B386DFE"/>
    <w:rsid w:val="5B501729"/>
    <w:rsid w:val="5B5A09BB"/>
    <w:rsid w:val="5B5E3BBA"/>
    <w:rsid w:val="5B61129A"/>
    <w:rsid w:val="5B6A1EFF"/>
    <w:rsid w:val="5B71577F"/>
    <w:rsid w:val="5B72226E"/>
    <w:rsid w:val="5B723645"/>
    <w:rsid w:val="5B732DEB"/>
    <w:rsid w:val="5B7E5408"/>
    <w:rsid w:val="5B954E6B"/>
    <w:rsid w:val="5B994F9F"/>
    <w:rsid w:val="5B9F4C87"/>
    <w:rsid w:val="5BA03C89"/>
    <w:rsid w:val="5BAC762A"/>
    <w:rsid w:val="5BAF10AA"/>
    <w:rsid w:val="5BB23996"/>
    <w:rsid w:val="5BB309A7"/>
    <w:rsid w:val="5BB32CFF"/>
    <w:rsid w:val="5BB355E5"/>
    <w:rsid w:val="5BD2377C"/>
    <w:rsid w:val="5BD42244"/>
    <w:rsid w:val="5BF60BB9"/>
    <w:rsid w:val="5BF62171"/>
    <w:rsid w:val="5BFE0F62"/>
    <w:rsid w:val="5BFE5131"/>
    <w:rsid w:val="5C080AF2"/>
    <w:rsid w:val="5C1642CF"/>
    <w:rsid w:val="5C3F78B8"/>
    <w:rsid w:val="5C5869C5"/>
    <w:rsid w:val="5C5B6738"/>
    <w:rsid w:val="5C5C0ECD"/>
    <w:rsid w:val="5C5D57A0"/>
    <w:rsid w:val="5C5E1C53"/>
    <w:rsid w:val="5C7438E3"/>
    <w:rsid w:val="5C790B93"/>
    <w:rsid w:val="5C843076"/>
    <w:rsid w:val="5C9E2A6B"/>
    <w:rsid w:val="5CA24452"/>
    <w:rsid w:val="5CBB6223"/>
    <w:rsid w:val="5CC1536E"/>
    <w:rsid w:val="5CC719E0"/>
    <w:rsid w:val="5CCE2DCA"/>
    <w:rsid w:val="5CD311C7"/>
    <w:rsid w:val="5CD50747"/>
    <w:rsid w:val="5CD514A6"/>
    <w:rsid w:val="5CD65CAE"/>
    <w:rsid w:val="5CD9545A"/>
    <w:rsid w:val="5CE57D78"/>
    <w:rsid w:val="5CE93AFB"/>
    <w:rsid w:val="5CEA2278"/>
    <w:rsid w:val="5CEA2493"/>
    <w:rsid w:val="5CEB42FB"/>
    <w:rsid w:val="5CEF253B"/>
    <w:rsid w:val="5CFF3EF8"/>
    <w:rsid w:val="5D191820"/>
    <w:rsid w:val="5D1A7349"/>
    <w:rsid w:val="5D1C7FB0"/>
    <w:rsid w:val="5D306F6C"/>
    <w:rsid w:val="5D360479"/>
    <w:rsid w:val="5D40532E"/>
    <w:rsid w:val="5D4243D3"/>
    <w:rsid w:val="5D4800F2"/>
    <w:rsid w:val="5D4F078E"/>
    <w:rsid w:val="5D6363D9"/>
    <w:rsid w:val="5D6975F7"/>
    <w:rsid w:val="5D7254AE"/>
    <w:rsid w:val="5D745DB1"/>
    <w:rsid w:val="5D78421B"/>
    <w:rsid w:val="5D7B0026"/>
    <w:rsid w:val="5D8A372A"/>
    <w:rsid w:val="5DC27ED4"/>
    <w:rsid w:val="5DCB6811"/>
    <w:rsid w:val="5DD31EDC"/>
    <w:rsid w:val="5DDA0BE3"/>
    <w:rsid w:val="5DF94EAA"/>
    <w:rsid w:val="5DFA598A"/>
    <w:rsid w:val="5E034624"/>
    <w:rsid w:val="5E056050"/>
    <w:rsid w:val="5E176F79"/>
    <w:rsid w:val="5E1778E5"/>
    <w:rsid w:val="5E1F7FC5"/>
    <w:rsid w:val="5E2770F1"/>
    <w:rsid w:val="5E28749E"/>
    <w:rsid w:val="5E351AB1"/>
    <w:rsid w:val="5E363925"/>
    <w:rsid w:val="5E395D53"/>
    <w:rsid w:val="5E435A02"/>
    <w:rsid w:val="5E4B0941"/>
    <w:rsid w:val="5E517B67"/>
    <w:rsid w:val="5E570DFF"/>
    <w:rsid w:val="5E5853FA"/>
    <w:rsid w:val="5E5F03D1"/>
    <w:rsid w:val="5E7808B2"/>
    <w:rsid w:val="5E7B3840"/>
    <w:rsid w:val="5E90028C"/>
    <w:rsid w:val="5E961444"/>
    <w:rsid w:val="5E9B6F8F"/>
    <w:rsid w:val="5EA438C2"/>
    <w:rsid w:val="5EC0252D"/>
    <w:rsid w:val="5EC05C8A"/>
    <w:rsid w:val="5ECB0F51"/>
    <w:rsid w:val="5EE33AC5"/>
    <w:rsid w:val="5EF67A09"/>
    <w:rsid w:val="5F0C19B5"/>
    <w:rsid w:val="5F1030D6"/>
    <w:rsid w:val="5F134279"/>
    <w:rsid w:val="5F204B52"/>
    <w:rsid w:val="5F2C4F29"/>
    <w:rsid w:val="5F2E261B"/>
    <w:rsid w:val="5F302912"/>
    <w:rsid w:val="5F423A37"/>
    <w:rsid w:val="5F4B256E"/>
    <w:rsid w:val="5F5A77E4"/>
    <w:rsid w:val="5F5E7487"/>
    <w:rsid w:val="5F61504E"/>
    <w:rsid w:val="5F642085"/>
    <w:rsid w:val="5F6C3697"/>
    <w:rsid w:val="5F786F34"/>
    <w:rsid w:val="5F7874E5"/>
    <w:rsid w:val="5F8204A8"/>
    <w:rsid w:val="5F877182"/>
    <w:rsid w:val="5F8772F0"/>
    <w:rsid w:val="5F901026"/>
    <w:rsid w:val="5F944930"/>
    <w:rsid w:val="5F9D6DD9"/>
    <w:rsid w:val="5FAC4CC1"/>
    <w:rsid w:val="5FB122C2"/>
    <w:rsid w:val="5FB65F88"/>
    <w:rsid w:val="5FB8258E"/>
    <w:rsid w:val="5FCE269F"/>
    <w:rsid w:val="5FD46396"/>
    <w:rsid w:val="5FDA27AB"/>
    <w:rsid w:val="5FF15645"/>
    <w:rsid w:val="5FF87674"/>
    <w:rsid w:val="6004529D"/>
    <w:rsid w:val="601F2A50"/>
    <w:rsid w:val="603C5C81"/>
    <w:rsid w:val="60463858"/>
    <w:rsid w:val="605863CB"/>
    <w:rsid w:val="605D7CBD"/>
    <w:rsid w:val="60646B8F"/>
    <w:rsid w:val="606D58F4"/>
    <w:rsid w:val="60713DCC"/>
    <w:rsid w:val="6088578F"/>
    <w:rsid w:val="608A543E"/>
    <w:rsid w:val="60983DFE"/>
    <w:rsid w:val="609A506A"/>
    <w:rsid w:val="60B4761C"/>
    <w:rsid w:val="60BC23C2"/>
    <w:rsid w:val="60BE0BE0"/>
    <w:rsid w:val="60CA2A17"/>
    <w:rsid w:val="60D349B0"/>
    <w:rsid w:val="60E27404"/>
    <w:rsid w:val="60E93BB1"/>
    <w:rsid w:val="60FB13A0"/>
    <w:rsid w:val="610009C6"/>
    <w:rsid w:val="61095558"/>
    <w:rsid w:val="610A2BE8"/>
    <w:rsid w:val="6112129E"/>
    <w:rsid w:val="61134564"/>
    <w:rsid w:val="611A0E7F"/>
    <w:rsid w:val="6128233B"/>
    <w:rsid w:val="612F0440"/>
    <w:rsid w:val="615124ED"/>
    <w:rsid w:val="615364CB"/>
    <w:rsid w:val="61554670"/>
    <w:rsid w:val="615C0669"/>
    <w:rsid w:val="61624DDF"/>
    <w:rsid w:val="617014B9"/>
    <w:rsid w:val="61782D32"/>
    <w:rsid w:val="61813AEF"/>
    <w:rsid w:val="618255D2"/>
    <w:rsid w:val="619257E7"/>
    <w:rsid w:val="61930A60"/>
    <w:rsid w:val="61973944"/>
    <w:rsid w:val="619C7562"/>
    <w:rsid w:val="61A91672"/>
    <w:rsid w:val="61B23452"/>
    <w:rsid w:val="61C1665E"/>
    <w:rsid w:val="61CF3703"/>
    <w:rsid w:val="61D105C5"/>
    <w:rsid w:val="61DA28EF"/>
    <w:rsid w:val="61EF66B9"/>
    <w:rsid w:val="61F02794"/>
    <w:rsid w:val="61FE178B"/>
    <w:rsid w:val="620519CD"/>
    <w:rsid w:val="620931D1"/>
    <w:rsid w:val="621335F5"/>
    <w:rsid w:val="621825FA"/>
    <w:rsid w:val="621D53D9"/>
    <w:rsid w:val="621E2E1A"/>
    <w:rsid w:val="62231A1E"/>
    <w:rsid w:val="623808A2"/>
    <w:rsid w:val="62385780"/>
    <w:rsid w:val="623D34B4"/>
    <w:rsid w:val="624E7496"/>
    <w:rsid w:val="627512BD"/>
    <w:rsid w:val="62865FBE"/>
    <w:rsid w:val="62972BD3"/>
    <w:rsid w:val="62A57643"/>
    <w:rsid w:val="62A72676"/>
    <w:rsid w:val="62A877C6"/>
    <w:rsid w:val="62B96A56"/>
    <w:rsid w:val="62CA289A"/>
    <w:rsid w:val="62CD52FD"/>
    <w:rsid w:val="62E22A90"/>
    <w:rsid w:val="62EE700E"/>
    <w:rsid w:val="62FA2ACB"/>
    <w:rsid w:val="630B4427"/>
    <w:rsid w:val="630D01AA"/>
    <w:rsid w:val="630F5BE9"/>
    <w:rsid w:val="631141FF"/>
    <w:rsid w:val="631727AF"/>
    <w:rsid w:val="63233EA0"/>
    <w:rsid w:val="632A1A4A"/>
    <w:rsid w:val="633B541A"/>
    <w:rsid w:val="633C7410"/>
    <w:rsid w:val="633F2395"/>
    <w:rsid w:val="63431B88"/>
    <w:rsid w:val="634D387E"/>
    <w:rsid w:val="63501ABC"/>
    <w:rsid w:val="63513DD6"/>
    <w:rsid w:val="63560FDB"/>
    <w:rsid w:val="63584A7D"/>
    <w:rsid w:val="63610E31"/>
    <w:rsid w:val="636D7219"/>
    <w:rsid w:val="636F23C4"/>
    <w:rsid w:val="636F774C"/>
    <w:rsid w:val="63751513"/>
    <w:rsid w:val="6385274D"/>
    <w:rsid w:val="6389279C"/>
    <w:rsid w:val="63AC6F52"/>
    <w:rsid w:val="63B4635C"/>
    <w:rsid w:val="63C169EE"/>
    <w:rsid w:val="63D343AE"/>
    <w:rsid w:val="63E5303B"/>
    <w:rsid w:val="63E9202A"/>
    <w:rsid w:val="63F6165D"/>
    <w:rsid w:val="640C0457"/>
    <w:rsid w:val="641050A5"/>
    <w:rsid w:val="643A6D65"/>
    <w:rsid w:val="643D372F"/>
    <w:rsid w:val="644C4962"/>
    <w:rsid w:val="645543E1"/>
    <w:rsid w:val="64670EF0"/>
    <w:rsid w:val="64822C9A"/>
    <w:rsid w:val="648C0D4E"/>
    <w:rsid w:val="64974741"/>
    <w:rsid w:val="64A65D71"/>
    <w:rsid w:val="64AE5807"/>
    <w:rsid w:val="64B16C82"/>
    <w:rsid w:val="64B65C6C"/>
    <w:rsid w:val="64B924B3"/>
    <w:rsid w:val="64BB2E9F"/>
    <w:rsid w:val="64BF0552"/>
    <w:rsid w:val="64C927F0"/>
    <w:rsid w:val="64D024F8"/>
    <w:rsid w:val="64D16233"/>
    <w:rsid w:val="64D3177B"/>
    <w:rsid w:val="64E82105"/>
    <w:rsid w:val="64E94689"/>
    <w:rsid w:val="64EF0698"/>
    <w:rsid w:val="64F04606"/>
    <w:rsid w:val="64FD41BD"/>
    <w:rsid w:val="651041A2"/>
    <w:rsid w:val="651A01A4"/>
    <w:rsid w:val="651A4DFB"/>
    <w:rsid w:val="652F760B"/>
    <w:rsid w:val="6539718E"/>
    <w:rsid w:val="65433550"/>
    <w:rsid w:val="65445AA1"/>
    <w:rsid w:val="654976FC"/>
    <w:rsid w:val="65541732"/>
    <w:rsid w:val="65577076"/>
    <w:rsid w:val="655A116C"/>
    <w:rsid w:val="656A3E4D"/>
    <w:rsid w:val="6570329F"/>
    <w:rsid w:val="657937BF"/>
    <w:rsid w:val="657D544F"/>
    <w:rsid w:val="657D7EE9"/>
    <w:rsid w:val="658A709F"/>
    <w:rsid w:val="658F30A1"/>
    <w:rsid w:val="65A92185"/>
    <w:rsid w:val="65AE0FAA"/>
    <w:rsid w:val="65B265BB"/>
    <w:rsid w:val="65B408C6"/>
    <w:rsid w:val="65B7540C"/>
    <w:rsid w:val="65BF27ED"/>
    <w:rsid w:val="65FA5128"/>
    <w:rsid w:val="66114056"/>
    <w:rsid w:val="66164A66"/>
    <w:rsid w:val="66200473"/>
    <w:rsid w:val="6623030C"/>
    <w:rsid w:val="662716D3"/>
    <w:rsid w:val="662C6BFE"/>
    <w:rsid w:val="66477E2C"/>
    <w:rsid w:val="664E2707"/>
    <w:rsid w:val="665940B8"/>
    <w:rsid w:val="6668554F"/>
    <w:rsid w:val="6687252C"/>
    <w:rsid w:val="66895DFA"/>
    <w:rsid w:val="668E29BF"/>
    <w:rsid w:val="668F0679"/>
    <w:rsid w:val="66912508"/>
    <w:rsid w:val="669331A4"/>
    <w:rsid w:val="66947840"/>
    <w:rsid w:val="6695590F"/>
    <w:rsid w:val="66A059E6"/>
    <w:rsid w:val="66A7492F"/>
    <w:rsid w:val="66B32D3F"/>
    <w:rsid w:val="66B75652"/>
    <w:rsid w:val="66C71DB6"/>
    <w:rsid w:val="66D22913"/>
    <w:rsid w:val="66D67281"/>
    <w:rsid w:val="66DB3DA6"/>
    <w:rsid w:val="66DF7FA9"/>
    <w:rsid w:val="66E16BF3"/>
    <w:rsid w:val="66ED2CBE"/>
    <w:rsid w:val="66F165DA"/>
    <w:rsid w:val="67030578"/>
    <w:rsid w:val="670468BA"/>
    <w:rsid w:val="670F1135"/>
    <w:rsid w:val="67122463"/>
    <w:rsid w:val="6714707A"/>
    <w:rsid w:val="671732AD"/>
    <w:rsid w:val="6720260D"/>
    <w:rsid w:val="67434AC8"/>
    <w:rsid w:val="675257F5"/>
    <w:rsid w:val="675B5E76"/>
    <w:rsid w:val="67685218"/>
    <w:rsid w:val="676A01F8"/>
    <w:rsid w:val="676F658D"/>
    <w:rsid w:val="67765A2D"/>
    <w:rsid w:val="6777433A"/>
    <w:rsid w:val="6785795F"/>
    <w:rsid w:val="6794120C"/>
    <w:rsid w:val="67944171"/>
    <w:rsid w:val="67982753"/>
    <w:rsid w:val="679F06CC"/>
    <w:rsid w:val="67AD30DB"/>
    <w:rsid w:val="67C24BE9"/>
    <w:rsid w:val="67DA64CF"/>
    <w:rsid w:val="67DD6DED"/>
    <w:rsid w:val="67E079ED"/>
    <w:rsid w:val="67E26B26"/>
    <w:rsid w:val="67E659CB"/>
    <w:rsid w:val="68072C6B"/>
    <w:rsid w:val="680A5663"/>
    <w:rsid w:val="680D0826"/>
    <w:rsid w:val="680E5C71"/>
    <w:rsid w:val="681225FE"/>
    <w:rsid w:val="681809B5"/>
    <w:rsid w:val="681D740D"/>
    <w:rsid w:val="68396A95"/>
    <w:rsid w:val="68583F14"/>
    <w:rsid w:val="68724C79"/>
    <w:rsid w:val="68754ACB"/>
    <w:rsid w:val="687E0205"/>
    <w:rsid w:val="68903545"/>
    <w:rsid w:val="689F421C"/>
    <w:rsid w:val="68A11915"/>
    <w:rsid w:val="68A67743"/>
    <w:rsid w:val="68B023DD"/>
    <w:rsid w:val="68B45916"/>
    <w:rsid w:val="68B65FB3"/>
    <w:rsid w:val="68BF12C4"/>
    <w:rsid w:val="68C1390B"/>
    <w:rsid w:val="68C47A10"/>
    <w:rsid w:val="68CA78DB"/>
    <w:rsid w:val="68D069C5"/>
    <w:rsid w:val="68D4007E"/>
    <w:rsid w:val="68DD4E43"/>
    <w:rsid w:val="68ED6682"/>
    <w:rsid w:val="690D6204"/>
    <w:rsid w:val="691514AB"/>
    <w:rsid w:val="69193488"/>
    <w:rsid w:val="691C4FE0"/>
    <w:rsid w:val="6924767C"/>
    <w:rsid w:val="692D32A9"/>
    <w:rsid w:val="692E4C95"/>
    <w:rsid w:val="6948295D"/>
    <w:rsid w:val="694F0570"/>
    <w:rsid w:val="69504690"/>
    <w:rsid w:val="695853AD"/>
    <w:rsid w:val="696926A3"/>
    <w:rsid w:val="698042D6"/>
    <w:rsid w:val="698D0DD3"/>
    <w:rsid w:val="69936BB1"/>
    <w:rsid w:val="69955328"/>
    <w:rsid w:val="699A59DC"/>
    <w:rsid w:val="69A47839"/>
    <w:rsid w:val="69B17C78"/>
    <w:rsid w:val="69B557EF"/>
    <w:rsid w:val="69BF0968"/>
    <w:rsid w:val="69C67FA0"/>
    <w:rsid w:val="69D312AD"/>
    <w:rsid w:val="69E620DA"/>
    <w:rsid w:val="69E7121E"/>
    <w:rsid w:val="69EB34E6"/>
    <w:rsid w:val="69F24EE7"/>
    <w:rsid w:val="69F30265"/>
    <w:rsid w:val="69FA19EF"/>
    <w:rsid w:val="69FA6E9E"/>
    <w:rsid w:val="69FC3F9F"/>
    <w:rsid w:val="6A1610B2"/>
    <w:rsid w:val="6A1A10BA"/>
    <w:rsid w:val="6A20271B"/>
    <w:rsid w:val="6A303A08"/>
    <w:rsid w:val="6A3F6D33"/>
    <w:rsid w:val="6A40775C"/>
    <w:rsid w:val="6A4A4D6E"/>
    <w:rsid w:val="6A4C269D"/>
    <w:rsid w:val="6A4E4CD8"/>
    <w:rsid w:val="6A62061A"/>
    <w:rsid w:val="6A671A22"/>
    <w:rsid w:val="6A793194"/>
    <w:rsid w:val="6A7B2218"/>
    <w:rsid w:val="6A7E34A3"/>
    <w:rsid w:val="6A880DA5"/>
    <w:rsid w:val="6A8E69D4"/>
    <w:rsid w:val="6A943E02"/>
    <w:rsid w:val="6AC2421C"/>
    <w:rsid w:val="6AC67176"/>
    <w:rsid w:val="6AD0733B"/>
    <w:rsid w:val="6AD338DD"/>
    <w:rsid w:val="6ADC5BEA"/>
    <w:rsid w:val="6AF4047F"/>
    <w:rsid w:val="6B100909"/>
    <w:rsid w:val="6B110350"/>
    <w:rsid w:val="6B1564B3"/>
    <w:rsid w:val="6B243A22"/>
    <w:rsid w:val="6B39527E"/>
    <w:rsid w:val="6B4658F5"/>
    <w:rsid w:val="6B4D0219"/>
    <w:rsid w:val="6B4F0091"/>
    <w:rsid w:val="6B552A20"/>
    <w:rsid w:val="6B731EB7"/>
    <w:rsid w:val="6B7A704C"/>
    <w:rsid w:val="6B94446F"/>
    <w:rsid w:val="6B953F1B"/>
    <w:rsid w:val="6B98396B"/>
    <w:rsid w:val="6B9E4702"/>
    <w:rsid w:val="6BA72274"/>
    <w:rsid w:val="6BA92866"/>
    <w:rsid w:val="6BBB4EB2"/>
    <w:rsid w:val="6BC04C84"/>
    <w:rsid w:val="6BC33297"/>
    <w:rsid w:val="6BD30D09"/>
    <w:rsid w:val="6BD67793"/>
    <w:rsid w:val="6BDD4538"/>
    <w:rsid w:val="6BE02E6E"/>
    <w:rsid w:val="6BFC6470"/>
    <w:rsid w:val="6C0669C3"/>
    <w:rsid w:val="6C0D2E20"/>
    <w:rsid w:val="6C0F3C31"/>
    <w:rsid w:val="6C1559E0"/>
    <w:rsid w:val="6C1757AC"/>
    <w:rsid w:val="6C200EF1"/>
    <w:rsid w:val="6C201749"/>
    <w:rsid w:val="6C275932"/>
    <w:rsid w:val="6C2C1569"/>
    <w:rsid w:val="6C49172E"/>
    <w:rsid w:val="6C537D61"/>
    <w:rsid w:val="6C604CE5"/>
    <w:rsid w:val="6C704E2C"/>
    <w:rsid w:val="6C735C66"/>
    <w:rsid w:val="6C804A70"/>
    <w:rsid w:val="6C830C2B"/>
    <w:rsid w:val="6C9C13B8"/>
    <w:rsid w:val="6C9E1B66"/>
    <w:rsid w:val="6CAE1A48"/>
    <w:rsid w:val="6CB6195D"/>
    <w:rsid w:val="6CB93463"/>
    <w:rsid w:val="6CC26325"/>
    <w:rsid w:val="6CC27352"/>
    <w:rsid w:val="6CDA5113"/>
    <w:rsid w:val="6CE21E51"/>
    <w:rsid w:val="6CFD54B6"/>
    <w:rsid w:val="6CFD5E83"/>
    <w:rsid w:val="6D091B20"/>
    <w:rsid w:val="6D1332A3"/>
    <w:rsid w:val="6D136CAC"/>
    <w:rsid w:val="6D1804A1"/>
    <w:rsid w:val="6D2B6E0E"/>
    <w:rsid w:val="6D2C3723"/>
    <w:rsid w:val="6D2E7B7F"/>
    <w:rsid w:val="6D392D4E"/>
    <w:rsid w:val="6D467076"/>
    <w:rsid w:val="6D4D4BA4"/>
    <w:rsid w:val="6D4E5649"/>
    <w:rsid w:val="6D5173E2"/>
    <w:rsid w:val="6D5D4213"/>
    <w:rsid w:val="6D5F052D"/>
    <w:rsid w:val="6D6A1524"/>
    <w:rsid w:val="6D767371"/>
    <w:rsid w:val="6D7E056A"/>
    <w:rsid w:val="6D931035"/>
    <w:rsid w:val="6D9B27B0"/>
    <w:rsid w:val="6D9D2660"/>
    <w:rsid w:val="6DA64876"/>
    <w:rsid w:val="6DAD1699"/>
    <w:rsid w:val="6DBF684C"/>
    <w:rsid w:val="6DD80881"/>
    <w:rsid w:val="6DDC28D3"/>
    <w:rsid w:val="6DED5096"/>
    <w:rsid w:val="6DEF03A3"/>
    <w:rsid w:val="6DFF1E6B"/>
    <w:rsid w:val="6E0816BB"/>
    <w:rsid w:val="6E0D2096"/>
    <w:rsid w:val="6E12241F"/>
    <w:rsid w:val="6E1B7F49"/>
    <w:rsid w:val="6E1F25D5"/>
    <w:rsid w:val="6E230430"/>
    <w:rsid w:val="6E2F2E56"/>
    <w:rsid w:val="6E302C8D"/>
    <w:rsid w:val="6E480BF3"/>
    <w:rsid w:val="6E4C09BC"/>
    <w:rsid w:val="6E4D4C80"/>
    <w:rsid w:val="6E536B45"/>
    <w:rsid w:val="6E5D07DD"/>
    <w:rsid w:val="6E605434"/>
    <w:rsid w:val="6E611BEA"/>
    <w:rsid w:val="6E624E49"/>
    <w:rsid w:val="6E630058"/>
    <w:rsid w:val="6E775643"/>
    <w:rsid w:val="6E885E54"/>
    <w:rsid w:val="6E8C20D9"/>
    <w:rsid w:val="6E8F0856"/>
    <w:rsid w:val="6E9B178A"/>
    <w:rsid w:val="6EA23513"/>
    <w:rsid w:val="6EAB0EF6"/>
    <w:rsid w:val="6EAC2EC5"/>
    <w:rsid w:val="6EAD67E6"/>
    <w:rsid w:val="6EBC25B3"/>
    <w:rsid w:val="6EBE0A3A"/>
    <w:rsid w:val="6ED22BFD"/>
    <w:rsid w:val="6ED70CE6"/>
    <w:rsid w:val="6ED82B2B"/>
    <w:rsid w:val="6EDA60FB"/>
    <w:rsid w:val="6EDE390C"/>
    <w:rsid w:val="6EED6C12"/>
    <w:rsid w:val="6EF00F46"/>
    <w:rsid w:val="6F0A09EE"/>
    <w:rsid w:val="6F0F6ECE"/>
    <w:rsid w:val="6F14569D"/>
    <w:rsid w:val="6F3E04D1"/>
    <w:rsid w:val="6F4554C5"/>
    <w:rsid w:val="6F481312"/>
    <w:rsid w:val="6F654C12"/>
    <w:rsid w:val="6F6837BD"/>
    <w:rsid w:val="6F6D2BDD"/>
    <w:rsid w:val="6F6D4FEF"/>
    <w:rsid w:val="6F7203CE"/>
    <w:rsid w:val="6F731119"/>
    <w:rsid w:val="6F7756AB"/>
    <w:rsid w:val="6F853582"/>
    <w:rsid w:val="6F85476A"/>
    <w:rsid w:val="6F8F4552"/>
    <w:rsid w:val="6F974447"/>
    <w:rsid w:val="6F9E6935"/>
    <w:rsid w:val="6FA07E5E"/>
    <w:rsid w:val="6FAB0111"/>
    <w:rsid w:val="6FBF0C9A"/>
    <w:rsid w:val="6FC62571"/>
    <w:rsid w:val="6FC86D17"/>
    <w:rsid w:val="6FCE2EB6"/>
    <w:rsid w:val="6FD2411F"/>
    <w:rsid w:val="6FD80980"/>
    <w:rsid w:val="6FDF5B07"/>
    <w:rsid w:val="6FF94CFB"/>
    <w:rsid w:val="70022D81"/>
    <w:rsid w:val="700C314E"/>
    <w:rsid w:val="70335EE6"/>
    <w:rsid w:val="70391717"/>
    <w:rsid w:val="70547D57"/>
    <w:rsid w:val="70701939"/>
    <w:rsid w:val="70A60128"/>
    <w:rsid w:val="70AB6287"/>
    <w:rsid w:val="70B94464"/>
    <w:rsid w:val="70BE3856"/>
    <w:rsid w:val="70C5547B"/>
    <w:rsid w:val="70CA43E2"/>
    <w:rsid w:val="70DC1944"/>
    <w:rsid w:val="70E149BF"/>
    <w:rsid w:val="70E72201"/>
    <w:rsid w:val="70F35E4C"/>
    <w:rsid w:val="71013ECC"/>
    <w:rsid w:val="71014073"/>
    <w:rsid w:val="710C32D1"/>
    <w:rsid w:val="710E1381"/>
    <w:rsid w:val="71120A54"/>
    <w:rsid w:val="711C1715"/>
    <w:rsid w:val="71267ECA"/>
    <w:rsid w:val="71293023"/>
    <w:rsid w:val="71295174"/>
    <w:rsid w:val="712D35FD"/>
    <w:rsid w:val="712D5C9B"/>
    <w:rsid w:val="712E2128"/>
    <w:rsid w:val="713936C2"/>
    <w:rsid w:val="7140198F"/>
    <w:rsid w:val="71446312"/>
    <w:rsid w:val="71461C5D"/>
    <w:rsid w:val="714766B1"/>
    <w:rsid w:val="71504091"/>
    <w:rsid w:val="715230A0"/>
    <w:rsid w:val="715E63DE"/>
    <w:rsid w:val="71645B12"/>
    <w:rsid w:val="716638E7"/>
    <w:rsid w:val="7169516E"/>
    <w:rsid w:val="716F4653"/>
    <w:rsid w:val="717262C6"/>
    <w:rsid w:val="71765F51"/>
    <w:rsid w:val="71792135"/>
    <w:rsid w:val="71872D8C"/>
    <w:rsid w:val="718F5E88"/>
    <w:rsid w:val="71927518"/>
    <w:rsid w:val="71984B88"/>
    <w:rsid w:val="71985FC6"/>
    <w:rsid w:val="71AC2D38"/>
    <w:rsid w:val="71AF6538"/>
    <w:rsid w:val="71B23CA8"/>
    <w:rsid w:val="71B41082"/>
    <w:rsid w:val="71BC74A4"/>
    <w:rsid w:val="71BD4CA2"/>
    <w:rsid w:val="71C62E4F"/>
    <w:rsid w:val="71CE2B83"/>
    <w:rsid w:val="71D65A16"/>
    <w:rsid w:val="71D90A7F"/>
    <w:rsid w:val="71ED774A"/>
    <w:rsid w:val="720027AB"/>
    <w:rsid w:val="72042FEE"/>
    <w:rsid w:val="720B7D81"/>
    <w:rsid w:val="7211527D"/>
    <w:rsid w:val="721B3556"/>
    <w:rsid w:val="721B7234"/>
    <w:rsid w:val="72293CB4"/>
    <w:rsid w:val="722F7785"/>
    <w:rsid w:val="72386750"/>
    <w:rsid w:val="724431C6"/>
    <w:rsid w:val="724F0024"/>
    <w:rsid w:val="7258146F"/>
    <w:rsid w:val="725A75E4"/>
    <w:rsid w:val="725C7417"/>
    <w:rsid w:val="725E20AD"/>
    <w:rsid w:val="726809EA"/>
    <w:rsid w:val="726B1DD9"/>
    <w:rsid w:val="726E2CDD"/>
    <w:rsid w:val="728B0E46"/>
    <w:rsid w:val="728D6704"/>
    <w:rsid w:val="729943A3"/>
    <w:rsid w:val="72C253CE"/>
    <w:rsid w:val="72C82D2F"/>
    <w:rsid w:val="72C86669"/>
    <w:rsid w:val="72D24740"/>
    <w:rsid w:val="72D500D5"/>
    <w:rsid w:val="72DE7129"/>
    <w:rsid w:val="72E27E87"/>
    <w:rsid w:val="72E7469F"/>
    <w:rsid w:val="72EF42A5"/>
    <w:rsid w:val="72F01078"/>
    <w:rsid w:val="72F23964"/>
    <w:rsid w:val="72FC1A02"/>
    <w:rsid w:val="72FD066C"/>
    <w:rsid w:val="730B39B2"/>
    <w:rsid w:val="73186A98"/>
    <w:rsid w:val="73190753"/>
    <w:rsid w:val="731B5D9D"/>
    <w:rsid w:val="73222E20"/>
    <w:rsid w:val="73231411"/>
    <w:rsid w:val="73323F84"/>
    <w:rsid w:val="73365CCA"/>
    <w:rsid w:val="733F3D2C"/>
    <w:rsid w:val="73453F0A"/>
    <w:rsid w:val="734F2A12"/>
    <w:rsid w:val="73507A13"/>
    <w:rsid w:val="73526267"/>
    <w:rsid w:val="737278F9"/>
    <w:rsid w:val="737403DD"/>
    <w:rsid w:val="737867C0"/>
    <w:rsid w:val="73844853"/>
    <w:rsid w:val="73855C38"/>
    <w:rsid w:val="73921937"/>
    <w:rsid w:val="73940211"/>
    <w:rsid w:val="739B5269"/>
    <w:rsid w:val="73AD6FC3"/>
    <w:rsid w:val="73AF138E"/>
    <w:rsid w:val="73B36B60"/>
    <w:rsid w:val="73B87FB2"/>
    <w:rsid w:val="73C04E77"/>
    <w:rsid w:val="73C34DB5"/>
    <w:rsid w:val="73C414C4"/>
    <w:rsid w:val="73D43D5E"/>
    <w:rsid w:val="73E11D69"/>
    <w:rsid w:val="73E83A32"/>
    <w:rsid w:val="73EA7525"/>
    <w:rsid w:val="73F05656"/>
    <w:rsid w:val="73F42AE5"/>
    <w:rsid w:val="73F4617A"/>
    <w:rsid w:val="740505C3"/>
    <w:rsid w:val="74072158"/>
    <w:rsid w:val="740A1C4D"/>
    <w:rsid w:val="740D502E"/>
    <w:rsid w:val="74174FB5"/>
    <w:rsid w:val="741D2A47"/>
    <w:rsid w:val="74217AF7"/>
    <w:rsid w:val="744024F7"/>
    <w:rsid w:val="744F3C28"/>
    <w:rsid w:val="745B5B20"/>
    <w:rsid w:val="7468740F"/>
    <w:rsid w:val="747839DA"/>
    <w:rsid w:val="747E367A"/>
    <w:rsid w:val="74A3128F"/>
    <w:rsid w:val="74B01F96"/>
    <w:rsid w:val="74B65B46"/>
    <w:rsid w:val="74B83B2D"/>
    <w:rsid w:val="74CA3160"/>
    <w:rsid w:val="74DE17C7"/>
    <w:rsid w:val="74E06409"/>
    <w:rsid w:val="74E53917"/>
    <w:rsid w:val="74E861ED"/>
    <w:rsid w:val="74ED6A00"/>
    <w:rsid w:val="74F80DFA"/>
    <w:rsid w:val="7504538B"/>
    <w:rsid w:val="75081D3E"/>
    <w:rsid w:val="75082A8B"/>
    <w:rsid w:val="750F0270"/>
    <w:rsid w:val="7514680B"/>
    <w:rsid w:val="751668C4"/>
    <w:rsid w:val="7517341E"/>
    <w:rsid w:val="751D183C"/>
    <w:rsid w:val="75291532"/>
    <w:rsid w:val="753E0BCD"/>
    <w:rsid w:val="75423098"/>
    <w:rsid w:val="75597B3C"/>
    <w:rsid w:val="755D35D6"/>
    <w:rsid w:val="7563141F"/>
    <w:rsid w:val="75637D73"/>
    <w:rsid w:val="75835843"/>
    <w:rsid w:val="758B1EB3"/>
    <w:rsid w:val="7591776F"/>
    <w:rsid w:val="75A7410B"/>
    <w:rsid w:val="75AA3D9C"/>
    <w:rsid w:val="75AD22EB"/>
    <w:rsid w:val="75B44CE3"/>
    <w:rsid w:val="75B65567"/>
    <w:rsid w:val="75BA31CA"/>
    <w:rsid w:val="75BB051D"/>
    <w:rsid w:val="75BB6FF4"/>
    <w:rsid w:val="75BD1F6F"/>
    <w:rsid w:val="75D950B6"/>
    <w:rsid w:val="76022697"/>
    <w:rsid w:val="7606023B"/>
    <w:rsid w:val="760970D6"/>
    <w:rsid w:val="760A752C"/>
    <w:rsid w:val="760D04DD"/>
    <w:rsid w:val="76250608"/>
    <w:rsid w:val="763335AF"/>
    <w:rsid w:val="76354938"/>
    <w:rsid w:val="763601D7"/>
    <w:rsid w:val="764F57B4"/>
    <w:rsid w:val="765106DD"/>
    <w:rsid w:val="76511DCF"/>
    <w:rsid w:val="765358C5"/>
    <w:rsid w:val="765659C5"/>
    <w:rsid w:val="765A29BF"/>
    <w:rsid w:val="765C22B9"/>
    <w:rsid w:val="765F26C2"/>
    <w:rsid w:val="76681F83"/>
    <w:rsid w:val="76835418"/>
    <w:rsid w:val="7687586B"/>
    <w:rsid w:val="768C2E48"/>
    <w:rsid w:val="769F7DB9"/>
    <w:rsid w:val="76B976D5"/>
    <w:rsid w:val="76D87695"/>
    <w:rsid w:val="76EA5435"/>
    <w:rsid w:val="76F5193E"/>
    <w:rsid w:val="76F60727"/>
    <w:rsid w:val="77047750"/>
    <w:rsid w:val="77047C7B"/>
    <w:rsid w:val="771505DE"/>
    <w:rsid w:val="77171F0D"/>
    <w:rsid w:val="7727063E"/>
    <w:rsid w:val="772B1B4F"/>
    <w:rsid w:val="77313A95"/>
    <w:rsid w:val="773E3FBA"/>
    <w:rsid w:val="77401176"/>
    <w:rsid w:val="774029EE"/>
    <w:rsid w:val="77562014"/>
    <w:rsid w:val="7759651D"/>
    <w:rsid w:val="775C4EB8"/>
    <w:rsid w:val="77626856"/>
    <w:rsid w:val="776D150B"/>
    <w:rsid w:val="77737186"/>
    <w:rsid w:val="777942B9"/>
    <w:rsid w:val="778B4CAE"/>
    <w:rsid w:val="778E5E39"/>
    <w:rsid w:val="779A32C2"/>
    <w:rsid w:val="77A013EE"/>
    <w:rsid w:val="77A70038"/>
    <w:rsid w:val="77A71A26"/>
    <w:rsid w:val="77A815EA"/>
    <w:rsid w:val="77BD1487"/>
    <w:rsid w:val="77BE19E3"/>
    <w:rsid w:val="77C63234"/>
    <w:rsid w:val="77CB3911"/>
    <w:rsid w:val="77CD37B7"/>
    <w:rsid w:val="77CD3866"/>
    <w:rsid w:val="77E7461F"/>
    <w:rsid w:val="77F822F0"/>
    <w:rsid w:val="77F8636A"/>
    <w:rsid w:val="780178E5"/>
    <w:rsid w:val="78066E16"/>
    <w:rsid w:val="78186A26"/>
    <w:rsid w:val="781D4CA9"/>
    <w:rsid w:val="781F3B69"/>
    <w:rsid w:val="78247A32"/>
    <w:rsid w:val="7827532A"/>
    <w:rsid w:val="782901F8"/>
    <w:rsid w:val="782E455C"/>
    <w:rsid w:val="783573F4"/>
    <w:rsid w:val="78396C1C"/>
    <w:rsid w:val="783C246A"/>
    <w:rsid w:val="785D5BF2"/>
    <w:rsid w:val="786C298B"/>
    <w:rsid w:val="786F6F3D"/>
    <w:rsid w:val="787A60BC"/>
    <w:rsid w:val="787B7B4B"/>
    <w:rsid w:val="788B439D"/>
    <w:rsid w:val="78966637"/>
    <w:rsid w:val="78971B6D"/>
    <w:rsid w:val="78BE18C8"/>
    <w:rsid w:val="78CA36E7"/>
    <w:rsid w:val="78D91D33"/>
    <w:rsid w:val="78DB6C5D"/>
    <w:rsid w:val="78E02F20"/>
    <w:rsid w:val="78E15EA7"/>
    <w:rsid w:val="78E77F42"/>
    <w:rsid w:val="78E95CD8"/>
    <w:rsid w:val="78EB289A"/>
    <w:rsid w:val="78EB4B77"/>
    <w:rsid w:val="78ED10B7"/>
    <w:rsid w:val="78FC4C0E"/>
    <w:rsid w:val="79055D17"/>
    <w:rsid w:val="79067DF8"/>
    <w:rsid w:val="791418D7"/>
    <w:rsid w:val="79267B5A"/>
    <w:rsid w:val="792B17B4"/>
    <w:rsid w:val="793507F3"/>
    <w:rsid w:val="794355E6"/>
    <w:rsid w:val="79482E7D"/>
    <w:rsid w:val="79487D58"/>
    <w:rsid w:val="795351B8"/>
    <w:rsid w:val="7959522E"/>
    <w:rsid w:val="79642F7D"/>
    <w:rsid w:val="796826FA"/>
    <w:rsid w:val="796D36B3"/>
    <w:rsid w:val="79773159"/>
    <w:rsid w:val="797A6A18"/>
    <w:rsid w:val="798B483B"/>
    <w:rsid w:val="798D7C8E"/>
    <w:rsid w:val="79961059"/>
    <w:rsid w:val="79B47A43"/>
    <w:rsid w:val="79B75431"/>
    <w:rsid w:val="79C0168B"/>
    <w:rsid w:val="79C4522B"/>
    <w:rsid w:val="79C61C2A"/>
    <w:rsid w:val="79C97800"/>
    <w:rsid w:val="79CE1549"/>
    <w:rsid w:val="79E0021A"/>
    <w:rsid w:val="79E53525"/>
    <w:rsid w:val="79F07433"/>
    <w:rsid w:val="79F13614"/>
    <w:rsid w:val="7A0975C9"/>
    <w:rsid w:val="7A0B59F9"/>
    <w:rsid w:val="7A19012B"/>
    <w:rsid w:val="7A1A1DA3"/>
    <w:rsid w:val="7A332CAE"/>
    <w:rsid w:val="7A4248A1"/>
    <w:rsid w:val="7A49255D"/>
    <w:rsid w:val="7A517A33"/>
    <w:rsid w:val="7A533C13"/>
    <w:rsid w:val="7A5F4EA9"/>
    <w:rsid w:val="7A6414E5"/>
    <w:rsid w:val="7A694429"/>
    <w:rsid w:val="7A6A7516"/>
    <w:rsid w:val="7A742EE2"/>
    <w:rsid w:val="7A8327E7"/>
    <w:rsid w:val="7A901349"/>
    <w:rsid w:val="7AA14258"/>
    <w:rsid w:val="7AA45CC7"/>
    <w:rsid w:val="7AC2119E"/>
    <w:rsid w:val="7AC27B17"/>
    <w:rsid w:val="7ACD19D1"/>
    <w:rsid w:val="7ACD36B3"/>
    <w:rsid w:val="7ACD3C84"/>
    <w:rsid w:val="7AD63AD4"/>
    <w:rsid w:val="7AEC7341"/>
    <w:rsid w:val="7AEE2AB1"/>
    <w:rsid w:val="7AF91402"/>
    <w:rsid w:val="7B03598D"/>
    <w:rsid w:val="7B045CCF"/>
    <w:rsid w:val="7B1C0647"/>
    <w:rsid w:val="7B205B3D"/>
    <w:rsid w:val="7B216E5D"/>
    <w:rsid w:val="7B25239A"/>
    <w:rsid w:val="7B444DDC"/>
    <w:rsid w:val="7B454E99"/>
    <w:rsid w:val="7B47514E"/>
    <w:rsid w:val="7B4D17F2"/>
    <w:rsid w:val="7B4E4448"/>
    <w:rsid w:val="7B5C2976"/>
    <w:rsid w:val="7B606121"/>
    <w:rsid w:val="7B734EEE"/>
    <w:rsid w:val="7B7670F4"/>
    <w:rsid w:val="7B7E6222"/>
    <w:rsid w:val="7B82058D"/>
    <w:rsid w:val="7B876ECC"/>
    <w:rsid w:val="7B9143DF"/>
    <w:rsid w:val="7B9E6C4A"/>
    <w:rsid w:val="7BAA7975"/>
    <w:rsid w:val="7BAB4177"/>
    <w:rsid w:val="7BAF484B"/>
    <w:rsid w:val="7BBC2A20"/>
    <w:rsid w:val="7BBF77D4"/>
    <w:rsid w:val="7BCE71D2"/>
    <w:rsid w:val="7BD87860"/>
    <w:rsid w:val="7BDF4672"/>
    <w:rsid w:val="7BE13152"/>
    <w:rsid w:val="7BE20CF9"/>
    <w:rsid w:val="7BE32F9A"/>
    <w:rsid w:val="7BF05450"/>
    <w:rsid w:val="7C0475FC"/>
    <w:rsid w:val="7C066563"/>
    <w:rsid w:val="7C0A31DE"/>
    <w:rsid w:val="7C1222C1"/>
    <w:rsid w:val="7C144C7C"/>
    <w:rsid w:val="7C260489"/>
    <w:rsid w:val="7C290ED5"/>
    <w:rsid w:val="7C3C7052"/>
    <w:rsid w:val="7C5A6038"/>
    <w:rsid w:val="7C617A0C"/>
    <w:rsid w:val="7C622D1D"/>
    <w:rsid w:val="7C6537C7"/>
    <w:rsid w:val="7C9B3A56"/>
    <w:rsid w:val="7C9C3977"/>
    <w:rsid w:val="7CA45911"/>
    <w:rsid w:val="7CB74603"/>
    <w:rsid w:val="7CC67AD5"/>
    <w:rsid w:val="7CCC26DD"/>
    <w:rsid w:val="7CCE48DE"/>
    <w:rsid w:val="7CE24F3B"/>
    <w:rsid w:val="7CF40333"/>
    <w:rsid w:val="7CF74F76"/>
    <w:rsid w:val="7CFA3885"/>
    <w:rsid w:val="7D0B355B"/>
    <w:rsid w:val="7D136799"/>
    <w:rsid w:val="7D215605"/>
    <w:rsid w:val="7D26015A"/>
    <w:rsid w:val="7D2B2C3D"/>
    <w:rsid w:val="7D460BD4"/>
    <w:rsid w:val="7D4814E1"/>
    <w:rsid w:val="7D4B1D51"/>
    <w:rsid w:val="7D4C28EF"/>
    <w:rsid w:val="7D575B1A"/>
    <w:rsid w:val="7D5B7AD5"/>
    <w:rsid w:val="7D705A51"/>
    <w:rsid w:val="7D711989"/>
    <w:rsid w:val="7D8A0E65"/>
    <w:rsid w:val="7D8B5986"/>
    <w:rsid w:val="7D8D6BD3"/>
    <w:rsid w:val="7D9262D9"/>
    <w:rsid w:val="7DA35931"/>
    <w:rsid w:val="7DAB7ED9"/>
    <w:rsid w:val="7DB7597E"/>
    <w:rsid w:val="7DBA1971"/>
    <w:rsid w:val="7DBB09C7"/>
    <w:rsid w:val="7DC83887"/>
    <w:rsid w:val="7DD42B5F"/>
    <w:rsid w:val="7DE17C47"/>
    <w:rsid w:val="7DE354C2"/>
    <w:rsid w:val="7DE62F60"/>
    <w:rsid w:val="7DE91762"/>
    <w:rsid w:val="7DEB4322"/>
    <w:rsid w:val="7DEE6566"/>
    <w:rsid w:val="7DF22237"/>
    <w:rsid w:val="7DF4651F"/>
    <w:rsid w:val="7DF725BC"/>
    <w:rsid w:val="7E015867"/>
    <w:rsid w:val="7E0B01EC"/>
    <w:rsid w:val="7E112039"/>
    <w:rsid w:val="7E287A9B"/>
    <w:rsid w:val="7E2D0152"/>
    <w:rsid w:val="7E2E5DA9"/>
    <w:rsid w:val="7E370258"/>
    <w:rsid w:val="7E372D5F"/>
    <w:rsid w:val="7E3D4966"/>
    <w:rsid w:val="7E4C1862"/>
    <w:rsid w:val="7E4F0DCC"/>
    <w:rsid w:val="7E52070A"/>
    <w:rsid w:val="7E5E2289"/>
    <w:rsid w:val="7E6622BF"/>
    <w:rsid w:val="7E6D5AA7"/>
    <w:rsid w:val="7E7B3286"/>
    <w:rsid w:val="7E86492C"/>
    <w:rsid w:val="7E913FED"/>
    <w:rsid w:val="7E9269DF"/>
    <w:rsid w:val="7EA30E25"/>
    <w:rsid w:val="7EB06276"/>
    <w:rsid w:val="7EB663C5"/>
    <w:rsid w:val="7EB872A3"/>
    <w:rsid w:val="7EB977B4"/>
    <w:rsid w:val="7EBB1A8E"/>
    <w:rsid w:val="7EC272E4"/>
    <w:rsid w:val="7EC83A09"/>
    <w:rsid w:val="7ED650EC"/>
    <w:rsid w:val="7ED7396C"/>
    <w:rsid w:val="7EDF3B17"/>
    <w:rsid w:val="7EFE356F"/>
    <w:rsid w:val="7F0571E7"/>
    <w:rsid w:val="7F0923DC"/>
    <w:rsid w:val="7F0D2526"/>
    <w:rsid w:val="7F1462FA"/>
    <w:rsid w:val="7F1F65DA"/>
    <w:rsid w:val="7F212FA1"/>
    <w:rsid w:val="7F2C5C1F"/>
    <w:rsid w:val="7F3B3B2D"/>
    <w:rsid w:val="7F494EDA"/>
    <w:rsid w:val="7F4960C1"/>
    <w:rsid w:val="7F5058B0"/>
    <w:rsid w:val="7F541A7F"/>
    <w:rsid w:val="7F56446A"/>
    <w:rsid w:val="7F5900D2"/>
    <w:rsid w:val="7F623287"/>
    <w:rsid w:val="7F643B27"/>
    <w:rsid w:val="7F69446A"/>
    <w:rsid w:val="7F700AEC"/>
    <w:rsid w:val="7F883F79"/>
    <w:rsid w:val="7F991187"/>
    <w:rsid w:val="7F993AEF"/>
    <w:rsid w:val="7FAB5254"/>
    <w:rsid w:val="7FB33FEF"/>
    <w:rsid w:val="7FBF4DF5"/>
    <w:rsid w:val="7FBF4FBA"/>
    <w:rsid w:val="7FD764CA"/>
    <w:rsid w:val="7FDA562F"/>
    <w:rsid w:val="7FE572F4"/>
    <w:rsid w:val="7FF37531"/>
    <w:rsid w:val="7FFB76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63"/>
    <w:qFormat/>
    <w:uiPriority w:val="0"/>
    <w:pPr>
      <w:keepNext/>
      <w:keepLines/>
      <w:spacing w:before="340" w:beforeLines="0" w:after="330" w:afterLines="0" w:line="578" w:lineRule="auto"/>
      <w:outlineLvl w:val="0"/>
    </w:pPr>
    <w:rPr>
      <w:rFonts w:eastAsia="宋体"/>
      <w:b/>
      <w:bCs/>
      <w:kern w:val="44"/>
      <w:sz w:val="44"/>
      <w:szCs w:val="44"/>
      <w:lang w:val="en-US" w:eastAsia="zh-CN" w:bidi="ar-SA"/>
    </w:rPr>
  </w:style>
  <w:style w:type="paragraph" w:styleId="6">
    <w:name w:val="heading 2"/>
    <w:basedOn w:val="1"/>
    <w:next w:val="1"/>
    <w:link w:val="64"/>
    <w:qFormat/>
    <w:uiPriority w:val="0"/>
    <w:pPr>
      <w:keepNext/>
      <w:keepLines/>
      <w:adjustRightInd w:val="0"/>
      <w:snapToGrid w:val="0"/>
      <w:spacing w:before="260" w:beforeLines="0" w:after="260" w:afterLines="0" w:line="360" w:lineRule="auto"/>
      <w:outlineLvl w:val="1"/>
    </w:pPr>
    <w:rPr>
      <w:rFonts w:ascii="Cambria" w:hAnsi="Cambria" w:eastAsia="宋体"/>
      <w:b/>
      <w:bCs/>
      <w:kern w:val="2"/>
      <w:sz w:val="32"/>
      <w:szCs w:val="32"/>
      <w:lang w:val="en-US" w:eastAsia="zh-CN" w:bidi="ar-SA"/>
    </w:rPr>
  </w:style>
  <w:style w:type="paragraph" w:styleId="7">
    <w:name w:val="heading 3"/>
    <w:basedOn w:val="1"/>
    <w:next w:val="1"/>
    <w:link w:val="65"/>
    <w:qFormat/>
    <w:uiPriority w:val="0"/>
    <w:pPr>
      <w:keepNext/>
      <w:keepLines/>
      <w:adjustRightInd w:val="0"/>
      <w:snapToGrid w:val="0"/>
      <w:spacing w:line="480" w:lineRule="auto"/>
      <w:jc w:val="center"/>
      <w:outlineLvl w:val="2"/>
    </w:pPr>
    <w:rPr>
      <w:rFonts w:ascii="Times New Roman" w:hAnsi="Times New Roman" w:eastAsia="宋体"/>
      <w:b/>
      <w:bCs/>
      <w:kern w:val="2"/>
      <w:sz w:val="32"/>
      <w:szCs w:val="32"/>
      <w:lang w:val="en-US" w:eastAsia="zh-CN" w:bidi="ar-SA"/>
    </w:rPr>
  </w:style>
  <w:style w:type="paragraph" w:styleId="8">
    <w:name w:val="heading 4"/>
    <w:basedOn w:val="1"/>
    <w:next w:val="1"/>
    <w:link w:val="66"/>
    <w:qFormat/>
    <w:uiPriority w:val="0"/>
    <w:pPr>
      <w:widowControl/>
      <w:spacing w:before="100" w:beforeLines="0" w:beforeAutospacing="1" w:after="100" w:afterLines="0" w:afterAutospacing="1"/>
      <w:jc w:val="left"/>
      <w:outlineLvl w:val="3"/>
    </w:pPr>
    <w:rPr>
      <w:rFonts w:ascii="宋体" w:hAnsi="宋体" w:eastAsia="宋体" w:cs="宋体"/>
      <w:b/>
      <w:bCs/>
      <w:sz w:val="24"/>
      <w:szCs w:val="24"/>
      <w:lang w:val="en-US" w:eastAsia="zh-CN" w:bidi="ar-SA"/>
    </w:rPr>
  </w:style>
  <w:style w:type="paragraph" w:styleId="9">
    <w:name w:val="heading 5"/>
    <w:basedOn w:val="1"/>
    <w:next w:val="1"/>
    <w:link w:val="67"/>
    <w:qFormat/>
    <w:uiPriority w:val="0"/>
    <w:pPr>
      <w:widowControl/>
      <w:spacing w:before="100" w:beforeLines="0" w:beforeAutospacing="1" w:after="100" w:afterLines="0" w:afterAutospacing="1"/>
      <w:jc w:val="left"/>
      <w:outlineLvl w:val="4"/>
    </w:pPr>
    <w:rPr>
      <w:rFonts w:ascii="宋体" w:hAnsi="宋体" w:eastAsia="宋体" w:cs="宋体"/>
      <w:b/>
      <w:bCs/>
      <w:lang w:val="en-US" w:eastAsia="zh-CN" w:bidi="ar-SA"/>
    </w:rPr>
  </w:style>
  <w:style w:type="paragraph" w:styleId="10">
    <w:name w:val="heading 6"/>
    <w:basedOn w:val="11"/>
    <w:next w:val="1"/>
    <w:link w:val="68"/>
    <w:qFormat/>
    <w:uiPriority w:val="0"/>
    <w:pPr>
      <w:keepNext/>
      <w:keepLines/>
      <w:ind w:firstLine="200" w:firstLineChars="200"/>
      <w:outlineLvl w:val="5"/>
    </w:pPr>
    <w:rPr>
      <w:rFonts w:hAnsi="Arial" w:eastAsia="仿宋_GB2312"/>
      <w:sz w:val="30"/>
      <w:lang w:val="en-US" w:eastAsia="zh-CN" w:bidi="ar-SA"/>
    </w:rPr>
  </w:style>
  <w:style w:type="paragraph" w:styleId="12">
    <w:name w:val="heading 7"/>
    <w:basedOn w:val="1"/>
    <w:next w:val="1"/>
    <w:link w:val="69"/>
    <w:qFormat/>
    <w:uiPriority w:val="0"/>
    <w:pPr>
      <w:keepNext/>
      <w:keepLines/>
      <w:adjustRightInd w:val="0"/>
      <w:spacing w:line="480" w:lineRule="atLeast"/>
      <w:ind w:left="1425" w:leftChars="175" w:hanging="900" w:hangingChars="300"/>
      <w:textAlignment w:val="baseline"/>
      <w:outlineLvl w:val="6"/>
    </w:pPr>
    <w:rPr>
      <w:rFonts w:eastAsia="仿宋_GB2312"/>
      <w:sz w:val="30"/>
      <w:lang w:val="en-US" w:eastAsia="zh-CN" w:bidi="ar-SA"/>
    </w:rPr>
  </w:style>
  <w:style w:type="paragraph" w:styleId="13">
    <w:name w:val="heading 8"/>
    <w:basedOn w:val="1"/>
    <w:next w:val="1"/>
    <w:link w:val="70"/>
    <w:qFormat/>
    <w:uiPriority w:val="0"/>
    <w:pPr>
      <w:adjustRightInd w:val="0"/>
      <w:spacing w:line="480" w:lineRule="atLeast"/>
      <w:ind w:left="2232" w:leftChars="450" w:hanging="882" w:hangingChars="294"/>
      <w:textAlignment w:val="baseline"/>
      <w:outlineLvl w:val="7"/>
    </w:pPr>
    <w:rPr>
      <w:rFonts w:hAnsi="Arial" w:eastAsia="仿宋_GB2312"/>
      <w:sz w:val="30"/>
      <w:lang w:val="en-US" w:eastAsia="zh-CN" w:bidi="ar-SA"/>
    </w:rPr>
  </w:style>
  <w:style w:type="paragraph" w:styleId="14">
    <w:name w:val="heading 9"/>
    <w:basedOn w:val="1"/>
    <w:next w:val="1"/>
    <w:link w:val="71"/>
    <w:qFormat/>
    <w:uiPriority w:val="0"/>
    <w:pPr>
      <w:keepNext/>
      <w:keepLines/>
      <w:adjustRightInd w:val="0"/>
      <w:spacing w:line="480" w:lineRule="atLeast"/>
      <w:ind w:left="2979" w:leftChars="715" w:hanging="834" w:hangingChars="278"/>
      <w:textAlignment w:val="baseline"/>
      <w:outlineLvl w:val="8"/>
    </w:pPr>
    <w:rPr>
      <w:rFonts w:eastAsia="仿宋_GB2312"/>
      <w:sz w:val="30"/>
      <w:lang w:val="en-US" w:eastAsia="zh-CN" w:bidi="ar-SA"/>
    </w:rPr>
  </w:style>
  <w:style w:type="character" w:default="1" w:styleId="54">
    <w:name w:val="Default Paragraph Font"/>
    <w:qFormat/>
    <w:uiPriority w:val="0"/>
    <w:rPr>
      <w:rFonts w:ascii="宋体" w:eastAsia="仿宋_GB2312" w:cs="宋体"/>
      <w:sz w:val="28"/>
      <w:szCs w:val="28"/>
    </w:rPr>
  </w:style>
  <w:style w:type="table" w:default="1" w:styleId="53">
    <w:name w:val="Normal Table"/>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line="275" w:lineRule="atLeast"/>
      <w:ind w:firstLine="420"/>
      <w:textAlignment w:val="baseline"/>
    </w:pPr>
    <w:rPr>
      <w:rFonts w:hAnsi="Calibri" w:eastAsia="楷体_GB2312"/>
      <w:szCs w:val="20"/>
    </w:rPr>
  </w:style>
  <w:style w:type="paragraph" w:styleId="3">
    <w:name w:val="Body Text"/>
    <w:basedOn w:val="1"/>
    <w:next w:val="4"/>
    <w:link w:val="62"/>
    <w:qFormat/>
    <w:uiPriority w:val="0"/>
    <w:pPr>
      <w:spacing w:after="120" w:afterLines="0"/>
    </w:pPr>
    <w:rPr>
      <w:rFonts w:eastAsia="宋体"/>
      <w:kern w:val="2"/>
      <w:sz w:val="21"/>
      <w:szCs w:val="24"/>
      <w:lang w:val="en-US" w:eastAsia="zh-CN" w:bidi="ar-SA"/>
    </w:rPr>
  </w:style>
  <w:style w:type="paragraph" w:customStyle="1" w:styleId="4">
    <w:name w:val="目录 53"/>
    <w:next w:val="1"/>
    <w:qFormat/>
    <w:uiPriority w:val="99"/>
    <w:pPr>
      <w:wordWrap w:val="0"/>
      <w:ind w:left="1275"/>
      <w:jc w:val="both"/>
    </w:pPr>
    <w:rPr>
      <w:rFonts w:ascii="Calibri" w:hAnsi="Calibri" w:eastAsia="宋体" w:cs="Times New Roman"/>
      <w:kern w:val="0"/>
      <w:sz w:val="21"/>
      <w:szCs w:val="20"/>
      <w:lang w:val="en-US" w:eastAsia="zh-CN" w:bidi="ar-SA"/>
    </w:rPr>
  </w:style>
  <w:style w:type="paragraph" w:styleId="11">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5">
    <w:name w:val="toc 7"/>
    <w:basedOn w:val="1"/>
    <w:next w:val="1"/>
    <w:qFormat/>
    <w:uiPriority w:val="0"/>
    <w:pPr>
      <w:ind w:left="2520" w:leftChars="1200"/>
    </w:pPr>
  </w:style>
  <w:style w:type="paragraph" w:styleId="16">
    <w:name w:val="List Bullet 4"/>
    <w:basedOn w:val="1"/>
    <w:qFormat/>
    <w:uiPriority w:val="0"/>
    <w:pPr>
      <w:numPr>
        <w:ilvl w:val="0"/>
        <w:numId w:val="1"/>
      </w:numPr>
      <w:tabs>
        <w:tab w:val="left" w:pos="1620"/>
      </w:tabs>
      <w:ind w:left="600" w:hanging="200"/>
    </w:pPr>
  </w:style>
  <w:style w:type="paragraph" w:styleId="17">
    <w:name w:val="List Bullet"/>
    <w:basedOn w:val="1"/>
    <w:qFormat/>
    <w:uiPriority w:val="0"/>
    <w:pPr>
      <w:numPr>
        <w:ilvl w:val="0"/>
        <w:numId w:val="2"/>
      </w:numPr>
      <w:tabs>
        <w:tab w:val="left" w:pos="360"/>
      </w:tabs>
      <w:ind w:hanging="200"/>
    </w:pPr>
  </w:style>
  <w:style w:type="paragraph" w:styleId="18">
    <w:name w:val="Document Map"/>
    <w:basedOn w:val="1"/>
    <w:link w:val="72"/>
    <w:qFormat/>
    <w:uiPriority w:val="0"/>
    <w:pPr>
      <w:shd w:val="clear" w:color="auto" w:fill="000080"/>
    </w:pPr>
    <w:rPr>
      <w:rFonts w:eastAsia="宋体"/>
      <w:kern w:val="2"/>
      <w:sz w:val="21"/>
      <w:szCs w:val="24"/>
      <w:lang w:val="en-US" w:eastAsia="zh-CN" w:bidi="ar-SA"/>
    </w:rPr>
  </w:style>
  <w:style w:type="paragraph" w:styleId="19">
    <w:name w:val="annotation text"/>
    <w:basedOn w:val="1"/>
    <w:link w:val="73"/>
    <w:qFormat/>
    <w:uiPriority w:val="0"/>
    <w:pPr>
      <w:jc w:val="left"/>
    </w:pPr>
    <w:rPr>
      <w:rFonts w:eastAsia="宋体"/>
      <w:kern w:val="2"/>
      <w:sz w:val="21"/>
      <w:szCs w:val="24"/>
      <w:lang w:val="en-US" w:eastAsia="zh-CN" w:bidi="ar-SA"/>
    </w:rPr>
  </w:style>
  <w:style w:type="paragraph" w:styleId="20">
    <w:name w:val="Body Text 3"/>
    <w:basedOn w:val="1"/>
    <w:link w:val="74"/>
    <w:qFormat/>
    <w:uiPriority w:val="0"/>
    <w:pPr>
      <w:spacing w:after="120" w:afterLines="0"/>
    </w:pPr>
    <w:rPr>
      <w:rFonts w:eastAsia="宋体"/>
      <w:kern w:val="2"/>
      <w:sz w:val="16"/>
      <w:szCs w:val="16"/>
      <w:lang w:val="en-US" w:eastAsia="zh-CN" w:bidi="ar-SA"/>
    </w:rPr>
  </w:style>
  <w:style w:type="paragraph" w:styleId="21">
    <w:name w:val="List Bullet 3"/>
    <w:basedOn w:val="1"/>
    <w:qFormat/>
    <w:uiPriority w:val="0"/>
    <w:pPr>
      <w:numPr>
        <w:ilvl w:val="0"/>
        <w:numId w:val="3"/>
      </w:numPr>
      <w:tabs>
        <w:tab w:val="left" w:pos="1200"/>
        <w:tab w:val="clear" w:pos="360"/>
      </w:tabs>
      <w:ind w:left="400" w:hanging="200"/>
    </w:pPr>
  </w:style>
  <w:style w:type="paragraph" w:styleId="22">
    <w:name w:val="Body Text Indent"/>
    <w:basedOn w:val="1"/>
    <w:link w:val="75"/>
    <w:qFormat/>
    <w:uiPriority w:val="0"/>
    <w:pPr>
      <w:ind w:firstLine="407" w:firstLineChars="200"/>
    </w:pPr>
    <w:rPr>
      <w:rFonts w:eastAsia="宋体"/>
      <w:kern w:val="2"/>
      <w:sz w:val="21"/>
      <w:szCs w:val="24"/>
      <w:lang w:val="en-US" w:eastAsia="zh-CN" w:bidi="ar-SA"/>
    </w:rPr>
  </w:style>
  <w:style w:type="paragraph" w:styleId="23">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4">
    <w:name w:val="List Bullet 2"/>
    <w:basedOn w:val="1"/>
    <w:qFormat/>
    <w:uiPriority w:val="0"/>
    <w:pPr>
      <w:numPr>
        <w:ilvl w:val="0"/>
        <w:numId w:val="4"/>
      </w:numPr>
      <w:tabs>
        <w:tab w:val="left" w:pos="780"/>
      </w:tabs>
      <w:ind w:left="200" w:hanging="200"/>
    </w:pPr>
  </w:style>
  <w:style w:type="paragraph" w:styleId="25">
    <w:name w:val="index 4"/>
    <w:basedOn w:val="1"/>
    <w:next w:val="1"/>
    <w:qFormat/>
    <w:uiPriority w:val="0"/>
    <w:pPr>
      <w:ind w:left="600" w:leftChars="600"/>
    </w:pPr>
    <w:rPr>
      <w:szCs w:val="21"/>
    </w:rPr>
  </w:style>
  <w:style w:type="paragraph" w:styleId="26">
    <w:name w:val="toc 5"/>
    <w:basedOn w:val="1"/>
    <w:next w:val="1"/>
    <w:qFormat/>
    <w:uiPriority w:val="0"/>
    <w:pPr>
      <w:ind w:left="1680" w:leftChars="800"/>
    </w:pPr>
  </w:style>
  <w:style w:type="paragraph" w:styleId="27">
    <w:name w:val="toc 3"/>
    <w:basedOn w:val="1"/>
    <w:next w:val="1"/>
    <w:qFormat/>
    <w:uiPriority w:val="0"/>
    <w:pPr>
      <w:ind w:left="840" w:leftChars="400"/>
    </w:pPr>
  </w:style>
  <w:style w:type="paragraph" w:styleId="28">
    <w:name w:val="Plain Text"/>
    <w:basedOn w:val="1"/>
    <w:link w:val="76"/>
    <w:qFormat/>
    <w:uiPriority w:val="0"/>
    <w:rPr>
      <w:rFonts w:ascii="宋体" w:hAnsi="Courier New" w:eastAsia="宋体" w:cs="Courier New"/>
      <w:kern w:val="2"/>
      <w:sz w:val="21"/>
      <w:szCs w:val="21"/>
      <w:lang w:val="en-US" w:eastAsia="zh-CN" w:bidi="ar-SA"/>
    </w:rPr>
  </w:style>
  <w:style w:type="paragraph" w:styleId="29">
    <w:name w:val="List Bullet 5"/>
    <w:basedOn w:val="1"/>
    <w:qFormat/>
    <w:uiPriority w:val="0"/>
    <w:pPr>
      <w:numPr>
        <w:ilvl w:val="0"/>
        <w:numId w:val="5"/>
      </w:numPr>
      <w:tabs>
        <w:tab w:val="left" w:pos="2040"/>
      </w:tabs>
      <w:ind w:left="800" w:hanging="200"/>
    </w:pPr>
  </w:style>
  <w:style w:type="paragraph" w:styleId="30">
    <w:name w:val="toc 8"/>
    <w:basedOn w:val="1"/>
    <w:next w:val="1"/>
    <w:qFormat/>
    <w:uiPriority w:val="0"/>
    <w:pPr>
      <w:ind w:left="2940" w:leftChars="1400"/>
    </w:pPr>
  </w:style>
  <w:style w:type="paragraph" w:styleId="31">
    <w:name w:val="Date"/>
    <w:basedOn w:val="1"/>
    <w:next w:val="1"/>
    <w:link w:val="77"/>
    <w:qFormat/>
    <w:uiPriority w:val="0"/>
    <w:pPr>
      <w:ind w:left="100" w:leftChars="2500"/>
    </w:pPr>
    <w:rPr>
      <w:rFonts w:eastAsia="宋体"/>
      <w:kern w:val="2"/>
      <w:sz w:val="21"/>
      <w:szCs w:val="24"/>
      <w:lang w:val="en-US" w:eastAsia="zh-CN" w:bidi="ar-SA"/>
    </w:rPr>
  </w:style>
  <w:style w:type="paragraph" w:styleId="32">
    <w:name w:val="Body Text Indent 2"/>
    <w:basedOn w:val="1"/>
    <w:link w:val="78"/>
    <w:qFormat/>
    <w:uiPriority w:val="0"/>
    <w:pPr>
      <w:widowControl/>
      <w:spacing w:line="480" w:lineRule="auto"/>
      <w:ind w:firstLine="560"/>
      <w:jc w:val="left"/>
    </w:pPr>
    <w:rPr>
      <w:rFonts w:eastAsia="宋体"/>
      <w:sz w:val="28"/>
      <w:szCs w:val="24"/>
      <w:lang w:val="en-US" w:eastAsia="zh-CN" w:bidi="ar-SA"/>
    </w:rPr>
  </w:style>
  <w:style w:type="paragraph" w:styleId="33">
    <w:name w:val="endnote text"/>
    <w:basedOn w:val="1"/>
    <w:link w:val="79"/>
    <w:qFormat/>
    <w:uiPriority w:val="0"/>
    <w:pPr>
      <w:widowControl/>
      <w:snapToGrid w:val="0"/>
      <w:jc w:val="left"/>
    </w:pPr>
    <w:rPr>
      <w:rFonts w:ascii="Arial" w:hAnsi="Arial" w:eastAsia="宋体" w:cs="Arial"/>
      <w:szCs w:val="24"/>
      <w:lang w:val="en-US" w:eastAsia="en-US" w:bidi="ar-SA"/>
    </w:rPr>
  </w:style>
  <w:style w:type="paragraph" w:styleId="34">
    <w:name w:val="Balloon Text"/>
    <w:basedOn w:val="1"/>
    <w:link w:val="80"/>
    <w:qFormat/>
    <w:uiPriority w:val="0"/>
    <w:rPr>
      <w:rFonts w:eastAsia="宋体"/>
      <w:kern w:val="2"/>
      <w:sz w:val="18"/>
      <w:szCs w:val="18"/>
      <w:lang w:val="en-US" w:eastAsia="zh-CN" w:bidi="ar-SA"/>
    </w:rPr>
  </w:style>
  <w:style w:type="paragraph" w:styleId="35">
    <w:name w:val="footer"/>
    <w:basedOn w:val="1"/>
    <w:link w:val="81"/>
    <w:qFormat/>
    <w:uiPriority w:val="0"/>
    <w:pPr>
      <w:tabs>
        <w:tab w:val="center" w:pos="4153"/>
        <w:tab w:val="right" w:pos="8306"/>
      </w:tabs>
      <w:snapToGrid w:val="0"/>
      <w:jc w:val="left"/>
    </w:pPr>
    <w:rPr>
      <w:rFonts w:eastAsia="宋体"/>
      <w:kern w:val="2"/>
      <w:sz w:val="18"/>
      <w:szCs w:val="18"/>
      <w:lang w:val="en-US" w:eastAsia="zh-CN" w:bidi="ar-SA"/>
    </w:rPr>
  </w:style>
  <w:style w:type="paragraph" w:styleId="36">
    <w:name w:val="header"/>
    <w:basedOn w:val="1"/>
    <w:link w:val="82"/>
    <w:qFormat/>
    <w:uiPriority w:val="0"/>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 w:type="paragraph" w:styleId="37">
    <w:name w:val="toc 1"/>
    <w:basedOn w:val="1"/>
    <w:next w:val="1"/>
    <w:qFormat/>
    <w:uiPriority w:val="39"/>
    <w:pPr>
      <w:tabs>
        <w:tab w:val="right" w:leader="dot" w:pos="8608"/>
      </w:tabs>
      <w:spacing w:line="480" w:lineRule="exact"/>
      <w:jc w:val="distribute"/>
    </w:pPr>
    <w:rPr>
      <w:rFonts w:ascii="宋体" w:hAnsi="宋体"/>
      <w:b/>
      <w:bCs/>
      <w:caps/>
      <w:color w:val="000000"/>
      <w:kern w:val="44"/>
      <w:sz w:val="24"/>
      <w:lang w:val="zh-CN"/>
    </w:rPr>
  </w:style>
  <w:style w:type="paragraph" w:styleId="38">
    <w:name w:val="toc 4"/>
    <w:basedOn w:val="1"/>
    <w:next w:val="1"/>
    <w:qFormat/>
    <w:uiPriority w:val="0"/>
    <w:pPr>
      <w:ind w:left="1260" w:leftChars="600"/>
    </w:pPr>
  </w:style>
  <w:style w:type="paragraph" w:styleId="39">
    <w:name w:val="Subtitle"/>
    <w:basedOn w:val="1"/>
    <w:link w:val="83"/>
    <w:qFormat/>
    <w:uiPriority w:val="0"/>
    <w:pPr>
      <w:widowControl/>
      <w:jc w:val="center"/>
    </w:pPr>
    <w:rPr>
      <w:rFonts w:eastAsia="宋体"/>
      <w:szCs w:val="24"/>
      <w:u w:val="single"/>
      <w:lang w:val="en-US" w:eastAsia="en-US" w:bidi="ar-SA"/>
    </w:rPr>
  </w:style>
  <w:style w:type="paragraph" w:styleId="40">
    <w:name w:val="footnote text"/>
    <w:basedOn w:val="1"/>
    <w:link w:val="84"/>
    <w:qFormat/>
    <w:uiPriority w:val="0"/>
    <w:pPr>
      <w:widowControl/>
      <w:snapToGrid w:val="0"/>
      <w:jc w:val="left"/>
    </w:pPr>
    <w:rPr>
      <w:rFonts w:ascii="Arial" w:hAnsi="Arial" w:eastAsia="宋体" w:cs="Arial"/>
      <w:sz w:val="18"/>
      <w:szCs w:val="18"/>
      <w:lang w:val="en-US" w:eastAsia="en-US" w:bidi="ar-SA"/>
    </w:rPr>
  </w:style>
  <w:style w:type="paragraph" w:styleId="41">
    <w:name w:val="toc 6"/>
    <w:basedOn w:val="1"/>
    <w:next w:val="1"/>
    <w:qFormat/>
    <w:uiPriority w:val="0"/>
    <w:pPr>
      <w:ind w:left="2100" w:leftChars="1000"/>
    </w:pPr>
  </w:style>
  <w:style w:type="paragraph" w:styleId="42">
    <w:name w:val="Body Text Indent 3"/>
    <w:basedOn w:val="1"/>
    <w:link w:val="85"/>
    <w:qFormat/>
    <w:uiPriority w:val="0"/>
    <w:pPr>
      <w:spacing w:line="360" w:lineRule="auto"/>
      <w:ind w:firstLine="280" w:firstLineChars="100"/>
    </w:pPr>
    <w:rPr>
      <w:rFonts w:ascii="宋体" w:hAnsi="宋体" w:eastAsia="宋体"/>
      <w:kern w:val="2"/>
      <w:sz w:val="28"/>
      <w:szCs w:val="28"/>
      <w:lang w:val="en-US" w:eastAsia="zh-CN" w:bidi="ar-SA"/>
    </w:rPr>
  </w:style>
  <w:style w:type="paragraph" w:styleId="43">
    <w:name w:val="table of figures"/>
    <w:basedOn w:val="1"/>
    <w:next w:val="1"/>
    <w:qFormat/>
    <w:uiPriority w:val="0"/>
    <w:pPr>
      <w:ind w:leftChars="200" w:hanging="200" w:hangingChars="200"/>
    </w:pPr>
  </w:style>
  <w:style w:type="paragraph" w:styleId="44">
    <w:name w:val="toc 2"/>
    <w:basedOn w:val="1"/>
    <w:next w:val="1"/>
    <w:qFormat/>
    <w:uiPriority w:val="0"/>
    <w:pPr>
      <w:ind w:left="420" w:leftChars="200"/>
    </w:pPr>
  </w:style>
  <w:style w:type="paragraph" w:styleId="45">
    <w:name w:val="toc 9"/>
    <w:basedOn w:val="1"/>
    <w:next w:val="1"/>
    <w:qFormat/>
    <w:uiPriority w:val="0"/>
    <w:pPr>
      <w:ind w:left="3360" w:leftChars="1600"/>
    </w:pPr>
  </w:style>
  <w:style w:type="paragraph" w:styleId="46">
    <w:name w:val="Body Text 2"/>
    <w:basedOn w:val="1"/>
    <w:link w:val="86"/>
    <w:qFormat/>
    <w:uiPriority w:val="0"/>
    <w:rPr>
      <w:rFonts w:eastAsia="宋体"/>
      <w:i/>
      <w:iCs/>
      <w:kern w:val="2"/>
      <w:sz w:val="26"/>
      <w:szCs w:val="24"/>
      <w:lang w:val="en-US" w:eastAsia="zh-CN" w:bidi="ar-SA"/>
    </w:rPr>
  </w:style>
  <w:style w:type="paragraph" w:styleId="47">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color w:val="000000"/>
      <w:sz w:val="24"/>
      <w:szCs w:val="24"/>
      <w:lang w:val="en-US" w:eastAsia="zh-CN" w:bidi="ar-SA"/>
    </w:rPr>
  </w:style>
  <w:style w:type="paragraph" w:styleId="4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49">
    <w:name w:val="index 1"/>
    <w:basedOn w:val="1"/>
    <w:next w:val="1"/>
    <w:qFormat/>
    <w:uiPriority w:val="0"/>
    <w:pPr>
      <w:spacing w:line="220" w:lineRule="exact"/>
      <w:jc w:val="center"/>
    </w:pPr>
    <w:rPr>
      <w:rFonts w:ascii="仿宋_GB2312" w:eastAsia="仿宋_GB2312"/>
      <w:szCs w:val="21"/>
    </w:rPr>
  </w:style>
  <w:style w:type="paragraph" w:styleId="50">
    <w:name w:val="Title"/>
    <w:basedOn w:val="1"/>
    <w:link w:val="88"/>
    <w:qFormat/>
    <w:uiPriority w:val="0"/>
    <w:pPr>
      <w:widowControl/>
      <w:jc w:val="center"/>
    </w:pPr>
    <w:rPr>
      <w:rFonts w:eastAsia="宋体"/>
      <w:szCs w:val="24"/>
      <w:u w:val="single"/>
      <w:lang w:val="en-US" w:eastAsia="en-US" w:bidi="ar-SA"/>
    </w:rPr>
  </w:style>
  <w:style w:type="paragraph" w:styleId="51">
    <w:name w:val="annotation subject"/>
    <w:basedOn w:val="19"/>
    <w:next w:val="19"/>
    <w:link w:val="89"/>
    <w:qFormat/>
    <w:uiPriority w:val="0"/>
    <w:rPr>
      <w:b/>
      <w:bCs/>
    </w:rPr>
  </w:style>
  <w:style w:type="paragraph" w:styleId="52">
    <w:name w:val="Body Text First Indent 2"/>
    <w:basedOn w:val="22"/>
    <w:link w:val="90"/>
    <w:qFormat/>
    <w:uiPriority w:val="0"/>
    <w:pPr>
      <w:spacing w:after="120" w:afterLines="0"/>
      <w:ind w:left="420" w:leftChars="200" w:firstLine="420"/>
    </w:pPr>
  </w:style>
  <w:style w:type="character" w:styleId="55">
    <w:name w:val="Strong"/>
    <w:basedOn w:val="54"/>
    <w:qFormat/>
    <w:uiPriority w:val="0"/>
    <w:rPr>
      <w:b/>
      <w:bCs/>
    </w:rPr>
  </w:style>
  <w:style w:type="character" w:styleId="56">
    <w:name w:val="endnote reference"/>
    <w:basedOn w:val="54"/>
    <w:qFormat/>
    <w:uiPriority w:val="0"/>
    <w:rPr>
      <w:vertAlign w:val="superscript"/>
    </w:rPr>
  </w:style>
  <w:style w:type="character" w:styleId="57">
    <w:name w:val="page number"/>
    <w:basedOn w:val="54"/>
    <w:qFormat/>
    <w:uiPriority w:val="0"/>
    <w:rPr>
      <w:rFonts w:ascii="Verdana" w:hAnsi="Verdana" w:eastAsia="仿宋_GB2312"/>
      <w:sz w:val="24"/>
      <w:lang w:val="en-US" w:eastAsia="en-US" w:bidi="ar-SA"/>
    </w:rPr>
  </w:style>
  <w:style w:type="character" w:styleId="58">
    <w:name w:val="FollowedHyperlink"/>
    <w:basedOn w:val="54"/>
    <w:qFormat/>
    <w:uiPriority w:val="0"/>
    <w:rPr>
      <w:color w:val="800080"/>
      <w:u w:val="single"/>
    </w:rPr>
  </w:style>
  <w:style w:type="character" w:styleId="59">
    <w:name w:val="Hyperlink"/>
    <w:basedOn w:val="54"/>
    <w:qFormat/>
    <w:uiPriority w:val="99"/>
    <w:rPr>
      <w:color w:val="0000FF"/>
      <w:u w:val="single"/>
    </w:rPr>
  </w:style>
  <w:style w:type="character" w:styleId="60">
    <w:name w:val="annotation reference"/>
    <w:basedOn w:val="54"/>
    <w:qFormat/>
    <w:uiPriority w:val="0"/>
    <w:rPr>
      <w:sz w:val="21"/>
      <w:szCs w:val="21"/>
    </w:rPr>
  </w:style>
  <w:style w:type="character" w:styleId="61">
    <w:name w:val="footnote reference"/>
    <w:basedOn w:val="54"/>
    <w:qFormat/>
    <w:uiPriority w:val="0"/>
    <w:rPr>
      <w:vertAlign w:val="superscript"/>
    </w:rPr>
  </w:style>
  <w:style w:type="character" w:customStyle="1" w:styleId="62">
    <w:name w:val="正文文本 Char"/>
    <w:basedOn w:val="54"/>
    <w:link w:val="3"/>
    <w:qFormat/>
    <w:uiPriority w:val="0"/>
    <w:rPr>
      <w:rFonts w:eastAsia="宋体"/>
      <w:kern w:val="2"/>
      <w:sz w:val="21"/>
      <w:szCs w:val="24"/>
      <w:lang w:val="en-US" w:eastAsia="zh-CN" w:bidi="ar-SA"/>
    </w:rPr>
  </w:style>
  <w:style w:type="character" w:customStyle="1" w:styleId="63">
    <w:name w:val="标题 1 Char"/>
    <w:basedOn w:val="54"/>
    <w:link w:val="5"/>
    <w:qFormat/>
    <w:uiPriority w:val="0"/>
    <w:rPr>
      <w:rFonts w:eastAsia="宋体"/>
      <w:b/>
      <w:bCs/>
      <w:kern w:val="44"/>
      <w:sz w:val="44"/>
      <w:szCs w:val="44"/>
      <w:lang w:val="en-US" w:eastAsia="zh-CN" w:bidi="ar-SA"/>
    </w:rPr>
  </w:style>
  <w:style w:type="character" w:customStyle="1" w:styleId="64">
    <w:name w:val="标题 2 Char"/>
    <w:basedOn w:val="54"/>
    <w:link w:val="6"/>
    <w:qFormat/>
    <w:uiPriority w:val="0"/>
    <w:rPr>
      <w:rFonts w:ascii="Cambria" w:hAnsi="Cambria" w:eastAsia="宋体"/>
      <w:b/>
      <w:bCs/>
      <w:kern w:val="2"/>
      <w:sz w:val="32"/>
      <w:szCs w:val="32"/>
      <w:lang w:val="en-US" w:eastAsia="zh-CN" w:bidi="ar-SA"/>
    </w:rPr>
  </w:style>
  <w:style w:type="character" w:customStyle="1" w:styleId="65">
    <w:name w:val="标题 3 Char"/>
    <w:basedOn w:val="54"/>
    <w:link w:val="7"/>
    <w:qFormat/>
    <w:uiPriority w:val="0"/>
    <w:rPr>
      <w:rFonts w:ascii="Times New Roman" w:hAnsi="Times New Roman" w:eastAsia="宋体"/>
      <w:b/>
      <w:bCs/>
      <w:kern w:val="2"/>
      <w:sz w:val="32"/>
      <w:szCs w:val="32"/>
      <w:lang w:val="en-US" w:eastAsia="zh-CN" w:bidi="ar-SA"/>
    </w:rPr>
  </w:style>
  <w:style w:type="character" w:customStyle="1" w:styleId="66">
    <w:name w:val="标题 4 Char"/>
    <w:basedOn w:val="54"/>
    <w:link w:val="8"/>
    <w:qFormat/>
    <w:uiPriority w:val="0"/>
    <w:rPr>
      <w:rFonts w:ascii="宋体" w:hAnsi="宋体" w:eastAsia="宋体" w:cs="宋体"/>
      <w:b/>
      <w:bCs/>
      <w:sz w:val="24"/>
      <w:szCs w:val="24"/>
      <w:lang w:val="en-US" w:eastAsia="zh-CN" w:bidi="ar-SA"/>
    </w:rPr>
  </w:style>
  <w:style w:type="character" w:customStyle="1" w:styleId="67">
    <w:name w:val="标题 5 Char"/>
    <w:basedOn w:val="54"/>
    <w:link w:val="9"/>
    <w:qFormat/>
    <w:uiPriority w:val="0"/>
    <w:rPr>
      <w:rFonts w:ascii="宋体" w:hAnsi="宋体" w:eastAsia="宋体" w:cs="宋体"/>
      <w:b/>
      <w:bCs/>
      <w:lang w:val="en-US" w:eastAsia="zh-CN" w:bidi="ar-SA"/>
    </w:rPr>
  </w:style>
  <w:style w:type="character" w:customStyle="1" w:styleId="68">
    <w:name w:val="标题 6 Char"/>
    <w:basedOn w:val="54"/>
    <w:link w:val="10"/>
    <w:qFormat/>
    <w:uiPriority w:val="0"/>
    <w:rPr>
      <w:rFonts w:hAnsi="Arial" w:eastAsia="仿宋_GB2312"/>
      <w:sz w:val="30"/>
      <w:lang w:val="en-US" w:eastAsia="zh-CN" w:bidi="ar-SA"/>
    </w:rPr>
  </w:style>
  <w:style w:type="character" w:customStyle="1" w:styleId="69">
    <w:name w:val="标题 7 Char"/>
    <w:basedOn w:val="54"/>
    <w:link w:val="12"/>
    <w:qFormat/>
    <w:uiPriority w:val="0"/>
    <w:rPr>
      <w:rFonts w:eastAsia="仿宋_GB2312"/>
      <w:sz w:val="30"/>
      <w:lang w:val="en-US" w:eastAsia="zh-CN" w:bidi="ar-SA"/>
    </w:rPr>
  </w:style>
  <w:style w:type="character" w:customStyle="1" w:styleId="70">
    <w:name w:val="标题 8 Char"/>
    <w:basedOn w:val="54"/>
    <w:link w:val="13"/>
    <w:qFormat/>
    <w:uiPriority w:val="0"/>
    <w:rPr>
      <w:rFonts w:hAnsi="Arial" w:eastAsia="仿宋_GB2312"/>
      <w:sz w:val="30"/>
      <w:lang w:val="en-US" w:eastAsia="zh-CN" w:bidi="ar-SA"/>
    </w:rPr>
  </w:style>
  <w:style w:type="character" w:customStyle="1" w:styleId="71">
    <w:name w:val="标题 9 Char"/>
    <w:basedOn w:val="54"/>
    <w:link w:val="14"/>
    <w:qFormat/>
    <w:uiPriority w:val="0"/>
    <w:rPr>
      <w:rFonts w:eastAsia="仿宋_GB2312"/>
      <w:sz w:val="30"/>
      <w:lang w:val="en-US" w:eastAsia="zh-CN" w:bidi="ar-SA"/>
    </w:rPr>
  </w:style>
  <w:style w:type="character" w:customStyle="1" w:styleId="72">
    <w:name w:val="文档结构图 Char"/>
    <w:basedOn w:val="54"/>
    <w:link w:val="18"/>
    <w:qFormat/>
    <w:uiPriority w:val="0"/>
    <w:rPr>
      <w:rFonts w:eastAsia="宋体"/>
      <w:kern w:val="2"/>
      <w:sz w:val="21"/>
      <w:szCs w:val="24"/>
      <w:lang w:val="en-US" w:eastAsia="zh-CN" w:bidi="ar-SA"/>
    </w:rPr>
  </w:style>
  <w:style w:type="character" w:customStyle="1" w:styleId="73">
    <w:name w:val="批注文字 Char"/>
    <w:basedOn w:val="54"/>
    <w:link w:val="19"/>
    <w:qFormat/>
    <w:uiPriority w:val="0"/>
    <w:rPr>
      <w:rFonts w:eastAsia="宋体"/>
      <w:kern w:val="2"/>
      <w:sz w:val="21"/>
      <w:szCs w:val="24"/>
      <w:lang w:val="en-US" w:eastAsia="zh-CN" w:bidi="ar-SA"/>
    </w:rPr>
  </w:style>
  <w:style w:type="character" w:customStyle="1" w:styleId="74">
    <w:name w:val="正文文本 3 Char"/>
    <w:basedOn w:val="54"/>
    <w:link w:val="20"/>
    <w:qFormat/>
    <w:uiPriority w:val="0"/>
    <w:rPr>
      <w:rFonts w:eastAsia="宋体"/>
      <w:kern w:val="2"/>
      <w:sz w:val="16"/>
      <w:szCs w:val="16"/>
      <w:lang w:val="en-US" w:eastAsia="zh-CN" w:bidi="ar-SA"/>
    </w:rPr>
  </w:style>
  <w:style w:type="character" w:customStyle="1" w:styleId="75">
    <w:name w:val="正文文本缩进 Char"/>
    <w:basedOn w:val="54"/>
    <w:link w:val="22"/>
    <w:qFormat/>
    <w:uiPriority w:val="0"/>
    <w:rPr>
      <w:rFonts w:eastAsia="宋体"/>
      <w:kern w:val="2"/>
      <w:sz w:val="21"/>
      <w:szCs w:val="24"/>
      <w:lang w:val="en-US" w:eastAsia="zh-CN" w:bidi="ar-SA"/>
    </w:rPr>
  </w:style>
  <w:style w:type="character" w:customStyle="1" w:styleId="76">
    <w:name w:val="纯文本 Char"/>
    <w:basedOn w:val="54"/>
    <w:link w:val="28"/>
    <w:qFormat/>
    <w:uiPriority w:val="0"/>
    <w:rPr>
      <w:rFonts w:ascii="宋体" w:hAnsi="Courier New" w:eastAsia="宋体" w:cs="Courier New"/>
      <w:kern w:val="2"/>
      <w:sz w:val="21"/>
      <w:szCs w:val="21"/>
      <w:lang w:val="en-US" w:eastAsia="zh-CN" w:bidi="ar-SA"/>
    </w:rPr>
  </w:style>
  <w:style w:type="character" w:customStyle="1" w:styleId="77">
    <w:name w:val="日期 Char"/>
    <w:basedOn w:val="54"/>
    <w:link w:val="31"/>
    <w:qFormat/>
    <w:uiPriority w:val="0"/>
    <w:rPr>
      <w:rFonts w:eastAsia="宋体"/>
      <w:kern w:val="2"/>
      <w:sz w:val="21"/>
      <w:szCs w:val="24"/>
      <w:lang w:val="en-US" w:eastAsia="zh-CN" w:bidi="ar-SA"/>
    </w:rPr>
  </w:style>
  <w:style w:type="character" w:customStyle="1" w:styleId="78">
    <w:name w:val="正文文本缩进 2 Char"/>
    <w:basedOn w:val="54"/>
    <w:link w:val="32"/>
    <w:qFormat/>
    <w:uiPriority w:val="0"/>
    <w:rPr>
      <w:rFonts w:eastAsia="宋体"/>
      <w:sz w:val="28"/>
      <w:szCs w:val="24"/>
      <w:lang w:val="en-US" w:eastAsia="zh-CN" w:bidi="ar-SA"/>
    </w:rPr>
  </w:style>
  <w:style w:type="character" w:customStyle="1" w:styleId="79">
    <w:name w:val="尾注文本 Char"/>
    <w:basedOn w:val="54"/>
    <w:link w:val="33"/>
    <w:qFormat/>
    <w:uiPriority w:val="0"/>
    <w:rPr>
      <w:rFonts w:ascii="Arial" w:hAnsi="Arial" w:eastAsia="宋体" w:cs="Arial"/>
      <w:szCs w:val="24"/>
      <w:lang w:val="en-US" w:eastAsia="en-US" w:bidi="ar-SA"/>
    </w:rPr>
  </w:style>
  <w:style w:type="character" w:customStyle="1" w:styleId="80">
    <w:name w:val="批注框文本 Char"/>
    <w:basedOn w:val="54"/>
    <w:link w:val="34"/>
    <w:qFormat/>
    <w:uiPriority w:val="0"/>
    <w:rPr>
      <w:rFonts w:eastAsia="宋体"/>
      <w:kern w:val="2"/>
      <w:sz w:val="18"/>
      <w:szCs w:val="18"/>
      <w:lang w:val="en-US" w:eastAsia="zh-CN" w:bidi="ar-SA"/>
    </w:rPr>
  </w:style>
  <w:style w:type="character" w:customStyle="1" w:styleId="81">
    <w:name w:val="页脚 Char"/>
    <w:basedOn w:val="54"/>
    <w:link w:val="35"/>
    <w:qFormat/>
    <w:uiPriority w:val="0"/>
    <w:rPr>
      <w:rFonts w:eastAsia="宋体"/>
      <w:kern w:val="2"/>
      <w:sz w:val="18"/>
      <w:szCs w:val="18"/>
      <w:lang w:val="en-US" w:eastAsia="zh-CN" w:bidi="ar-SA"/>
    </w:rPr>
  </w:style>
  <w:style w:type="character" w:customStyle="1" w:styleId="82">
    <w:name w:val="页眉 Char"/>
    <w:basedOn w:val="54"/>
    <w:link w:val="36"/>
    <w:qFormat/>
    <w:uiPriority w:val="0"/>
    <w:rPr>
      <w:rFonts w:eastAsia="宋体"/>
      <w:kern w:val="2"/>
      <w:sz w:val="18"/>
      <w:szCs w:val="18"/>
      <w:lang w:val="en-US" w:eastAsia="zh-CN" w:bidi="ar-SA"/>
    </w:rPr>
  </w:style>
  <w:style w:type="character" w:customStyle="1" w:styleId="83">
    <w:name w:val="副标题 Char"/>
    <w:basedOn w:val="54"/>
    <w:link w:val="39"/>
    <w:qFormat/>
    <w:uiPriority w:val="0"/>
    <w:rPr>
      <w:rFonts w:eastAsia="宋体"/>
      <w:szCs w:val="24"/>
      <w:u w:val="single"/>
      <w:lang w:val="en-US" w:eastAsia="en-US" w:bidi="ar-SA"/>
    </w:rPr>
  </w:style>
  <w:style w:type="character" w:customStyle="1" w:styleId="84">
    <w:name w:val="脚注文本 Char"/>
    <w:basedOn w:val="54"/>
    <w:link w:val="40"/>
    <w:qFormat/>
    <w:uiPriority w:val="0"/>
    <w:rPr>
      <w:rFonts w:ascii="Arial" w:hAnsi="Arial" w:eastAsia="宋体" w:cs="Arial"/>
      <w:sz w:val="18"/>
      <w:szCs w:val="18"/>
      <w:lang w:val="en-US" w:eastAsia="en-US" w:bidi="ar-SA"/>
    </w:rPr>
  </w:style>
  <w:style w:type="character" w:customStyle="1" w:styleId="85">
    <w:name w:val="正文文本缩进 3 Char"/>
    <w:basedOn w:val="54"/>
    <w:link w:val="42"/>
    <w:qFormat/>
    <w:uiPriority w:val="0"/>
    <w:rPr>
      <w:rFonts w:ascii="宋体" w:hAnsi="宋体" w:eastAsia="宋体"/>
      <w:kern w:val="2"/>
      <w:sz w:val="28"/>
      <w:szCs w:val="28"/>
      <w:lang w:val="en-US" w:eastAsia="zh-CN" w:bidi="ar-SA"/>
    </w:rPr>
  </w:style>
  <w:style w:type="character" w:customStyle="1" w:styleId="86">
    <w:name w:val="正文文本 2 Char"/>
    <w:basedOn w:val="54"/>
    <w:link w:val="46"/>
    <w:qFormat/>
    <w:uiPriority w:val="0"/>
    <w:rPr>
      <w:rFonts w:eastAsia="宋体"/>
      <w:i/>
      <w:iCs/>
      <w:kern w:val="2"/>
      <w:sz w:val="26"/>
      <w:szCs w:val="24"/>
      <w:lang w:val="en-US" w:eastAsia="zh-CN" w:bidi="ar-SA"/>
    </w:rPr>
  </w:style>
  <w:style w:type="character" w:customStyle="1" w:styleId="87">
    <w:name w:val="HTML 预设格式 Char"/>
    <w:basedOn w:val="54"/>
    <w:link w:val="47"/>
    <w:qFormat/>
    <w:uiPriority w:val="0"/>
    <w:rPr>
      <w:rFonts w:ascii="宋体" w:hAnsi="宋体" w:eastAsia="宋体" w:cs="宋体"/>
      <w:color w:val="000000"/>
      <w:sz w:val="24"/>
      <w:szCs w:val="24"/>
      <w:lang w:val="en-US" w:eastAsia="zh-CN" w:bidi="ar-SA"/>
    </w:rPr>
  </w:style>
  <w:style w:type="character" w:customStyle="1" w:styleId="88">
    <w:name w:val="标题 Char"/>
    <w:basedOn w:val="54"/>
    <w:link w:val="50"/>
    <w:qFormat/>
    <w:uiPriority w:val="0"/>
    <w:rPr>
      <w:rFonts w:eastAsia="宋体"/>
      <w:szCs w:val="24"/>
      <w:u w:val="single"/>
      <w:lang w:val="en-US" w:eastAsia="en-US" w:bidi="ar-SA"/>
    </w:rPr>
  </w:style>
  <w:style w:type="character" w:customStyle="1" w:styleId="89">
    <w:name w:val="批注主题 Char"/>
    <w:basedOn w:val="73"/>
    <w:link w:val="51"/>
    <w:qFormat/>
    <w:uiPriority w:val="0"/>
    <w:rPr>
      <w:b/>
      <w:bCs/>
    </w:rPr>
  </w:style>
  <w:style w:type="character" w:customStyle="1" w:styleId="90">
    <w:name w:val="正文首行缩进 2 Char"/>
    <w:basedOn w:val="91"/>
    <w:link w:val="52"/>
    <w:qFormat/>
    <w:uiPriority w:val="0"/>
  </w:style>
  <w:style w:type="character" w:customStyle="1" w:styleId="91">
    <w:name w:val=" Char Char69"/>
    <w:basedOn w:val="54"/>
    <w:qFormat/>
    <w:uiPriority w:val="0"/>
    <w:rPr>
      <w:rFonts w:ascii="宋体" w:hAnsi="宋体" w:eastAsia="宋体" w:cs="Times New Roman"/>
      <w:kern w:val="2"/>
      <w:sz w:val="24"/>
      <w:szCs w:val="24"/>
      <w:lang w:val="en-US" w:eastAsia="zh-CN" w:bidi="ar-SA"/>
    </w:rPr>
  </w:style>
  <w:style w:type="character" w:customStyle="1" w:styleId="92">
    <w:name w:val=" Char Char84"/>
    <w:basedOn w:val="54"/>
    <w:qFormat/>
    <w:uiPriority w:val="0"/>
    <w:rPr>
      <w:rFonts w:eastAsia="宋体" w:cs="Times New Roman"/>
      <w:b/>
      <w:bCs/>
      <w:kern w:val="2"/>
      <w:sz w:val="32"/>
      <w:szCs w:val="32"/>
      <w:lang w:val="en-US" w:eastAsia="zh-CN" w:bidi="ar-SA"/>
    </w:rPr>
  </w:style>
  <w:style w:type="character" w:customStyle="1" w:styleId="93">
    <w:name w:val=" Char Char36"/>
    <w:basedOn w:val="94"/>
    <w:qFormat/>
    <w:uiPriority w:val="0"/>
    <w:rPr>
      <w:b/>
      <w:bCs/>
      <w:kern w:val="2"/>
      <w:szCs w:val="24"/>
    </w:rPr>
  </w:style>
  <w:style w:type="character" w:customStyle="1" w:styleId="94">
    <w:name w:val=" Char Char42"/>
    <w:basedOn w:val="54"/>
    <w:qFormat/>
    <w:uiPriority w:val="0"/>
    <w:rPr>
      <w:rFonts w:eastAsia="宋体" w:cs="Times New Roman"/>
      <w:sz w:val="24"/>
      <w:lang w:val="en-US" w:eastAsia="zh-CN" w:bidi="ar-SA"/>
    </w:rPr>
  </w:style>
  <w:style w:type="character" w:customStyle="1" w:styleId="95">
    <w:name w:val=" Char Char38"/>
    <w:basedOn w:val="54"/>
    <w:qFormat/>
    <w:uiPriority w:val="0"/>
    <w:rPr>
      <w:rFonts w:eastAsia="宋体" w:cs="Times New Roman"/>
      <w:kern w:val="2"/>
      <w:sz w:val="24"/>
      <w:szCs w:val="24"/>
      <w:lang w:val="en-US" w:eastAsia="zh-CN" w:bidi="ar-SA"/>
    </w:rPr>
  </w:style>
  <w:style w:type="character" w:customStyle="1" w:styleId="96">
    <w:name w:val="Char Char11"/>
    <w:basedOn w:val="54"/>
    <w:qFormat/>
    <w:uiPriority w:val="0"/>
    <w:rPr>
      <w:rFonts w:eastAsia="黑体"/>
      <w:kern w:val="2"/>
      <w:sz w:val="44"/>
      <w:szCs w:val="44"/>
      <w:lang w:val="en-US" w:eastAsia="zh-CN" w:bidi="ar-SA"/>
    </w:rPr>
  </w:style>
  <w:style w:type="character" w:customStyle="1" w:styleId="97">
    <w:name w:val=" Char Char75"/>
    <w:basedOn w:val="54"/>
    <w:qFormat/>
    <w:uiPriority w:val="0"/>
    <w:rPr>
      <w:rFonts w:eastAsia="宋体" w:cs="Times New Roman"/>
      <w:sz w:val="24"/>
      <w:lang w:val="en-US" w:eastAsia="zh-CN" w:bidi="ar-SA"/>
    </w:rPr>
  </w:style>
  <w:style w:type="character" w:customStyle="1" w:styleId="98">
    <w:name w:val=" Char Char81"/>
    <w:basedOn w:val="54"/>
    <w:qFormat/>
    <w:uiPriority w:val="0"/>
    <w:rPr>
      <w:rFonts w:ascii="Arial" w:hAnsi="Arial" w:eastAsia="黑体" w:cs="Times New Roman"/>
      <w:b/>
      <w:bCs/>
      <w:kern w:val="2"/>
      <w:sz w:val="24"/>
      <w:szCs w:val="24"/>
      <w:lang w:val="en-US" w:eastAsia="zh-CN" w:bidi="ar-SA"/>
    </w:rPr>
  </w:style>
  <w:style w:type="character" w:customStyle="1" w:styleId="99">
    <w:name w:val=" Char Char Char"/>
    <w:basedOn w:val="54"/>
    <w:qFormat/>
    <w:uiPriority w:val="0"/>
    <w:rPr>
      <w:kern w:val="2"/>
      <w:sz w:val="21"/>
      <w:szCs w:val="24"/>
      <w:shd w:val="clear" w:color="auto" w:fill="000080"/>
    </w:rPr>
  </w:style>
  <w:style w:type="character" w:customStyle="1" w:styleId="100">
    <w:name w:val=" Char Char54"/>
    <w:basedOn w:val="54"/>
    <w:qFormat/>
    <w:uiPriority w:val="0"/>
    <w:rPr>
      <w:rFonts w:ascii="Arial" w:hAnsi="Arial" w:eastAsia="黑体" w:cs="Times New Roman"/>
      <w:b/>
      <w:bCs/>
      <w:kern w:val="2"/>
      <w:sz w:val="28"/>
      <w:szCs w:val="28"/>
      <w:lang w:val="en-US" w:eastAsia="zh-CN" w:bidi="ar-SA"/>
    </w:rPr>
  </w:style>
  <w:style w:type="character" w:customStyle="1" w:styleId="101">
    <w:name w:val="标题 3 Char Char"/>
    <w:basedOn w:val="54"/>
    <w:qFormat/>
    <w:uiPriority w:val="0"/>
    <w:rPr>
      <w:rFonts w:eastAsia="宋体" w:cs="Times New Roman"/>
      <w:b/>
      <w:bCs/>
      <w:kern w:val="2"/>
      <w:sz w:val="32"/>
      <w:szCs w:val="32"/>
      <w:lang w:val="en-US" w:eastAsia="zh-CN" w:bidi="ar-SA"/>
    </w:rPr>
  </w:style>
  <w:style w:type="character" w:customStyle="1" w:styleId="102">
    <w:name w:val=" Char Char56"/>
    <w:basedOn w:val="54"/>
    <w:qFormat/>
    <w:uiPriority w:val="0"/>
    <w:rPr>
      <w:rFonts w:ascii="Arial" w:hAnsi="Arial" w:eastAsia="黑体" w:cs="Times New Roman"/>
      <w:b/>
      <w:bCs/>
      <w:kern w:val="2"/>
      <w:sz w:val="32"/>
      <w:szCs w:val="32"/>
      <w:lang w:val="en-US" w:eastAsia="zh-CN" w:bidi="ar-SA"/>
    </w:rPr>
  </w:style>
  <w:style w:type="character" w:customStyle="1" w:styleId="103">
    <w:name w:val=" Char Char21"/>
    <w:basedOn w:val="54"/>
    <w:qFormat/>
    <w:uiPriority w:val="0"/>
    <w:rPr>
      <w:rFonts w:ascii="宋体" w:hAnsi="宋体" w:cs="宋体"/>
      <w:b/>
      <w:bCs/>
      <w:sz w:val="24"/>
      <w:szCs w:val="24"/>
    </w:rPr>
  </w:style>
  <w:style w:type="character" w:customStyle="1" w:styleId="104">
    <w:name w:val="l1"/>
    <w:basedOn w:val="54"/>
    <w:qFormat/>
    <w:uiPriority w:val="0"/>
  </w:style>
  <w:style w:type="character" w:customStyle="1" w:styleId="105">
    <w:name w:val="style121"/>
    <w:basedOn w:val="54"/>
    <w:qFormat/>
    <w:uiPriority w:val="0"/>
    <w:rPr>
      <w:rFonts w:hint="eastAsia" w:ascii="宋体" w:hAnsi="宋体" w:eastAsia="宋体"/>
      <w:sz w:val="18"/>
      <w:szCs w:val="18"/>
    </w:rPr>
  </w:style>
  <w:style w:type="character" w:customStyle="1" w:styleId="106">
    <w:name w:val=" Char Char4"/>
    <w:basedOn w:val="54"/>
    <w:qFormat/>
    <w:uiPriority w:val="0"/>
    <w:rPr>
      <w:szCs w:val="24"/>
      <w:u w:val="single"/>
      <w:lang w:eastAsia="en-US"/>
    </w:rPr>
  </w:style>
  <w:style w:type="character" w:customStyle="1" w:styleId="107">
    <w:name w:val=" Char Char63"/>
    <w:basedOn w:val="54"/>
    <w:qFormat/>
    <w:uiPriority w:val="0"/>
    <w:rPr>
      <w:rFonts w:eastAsia="宋体" w:cs="Times New Roman"/>
      <w:kern w:val="2"/>
      <w:sz w:val="18"/>
      <w:szCs w:val="18"/>
      <w:lang w:val="en-US" w:eastAsia="zh-CN" w:bidi="ar-SA"/>
    </w:rPr>
  </w:style>
  <w:style w:type="character" w:customStyle="1" w:styleId="108">
    <w:name w:val=" Char Char23"/>
    <w:basedOn w:val="54"/>
    <w:qFormat/>
    <w:uiPriority w:val="0"/>
    <w:rPr>
      <w:rFonts w:ascii="Cambria" w:hAnsi="Cambria" w:eastAsia="宋体" w:cs="Times New Roman"/>
      <w:b/>
      <w:bCs/>
      <w:kern w:val="2"/>
      <w:sz w:val="32"/>
      <w:szCs w:val="32"/>
    </w:rPr>
  </w:style>
  <w:style w:type="character" w:customStyle="1" w:styleId="109">
    <w:name w:val="Intense Quote Char1"/>
    <w:basedOn w:val="54"/>
    <w:link w:val="110"/>
    <w:qFormat/>
    <w:uiPriority w:val="0"/>
    <w:rPr>
      <w:rFonts w:ascii="Calibri" w:hAnsi="Calibri" w:eastAsia="宋体"/>
      <w:b/>
      <w:bCs/>
      <w:i/>
      <w:iCs/>
      <w:color w:val="4F81BD"/>
      <w:kern w:val="2"/>
      <w:sz w:val="22"/>
      <w:szCs w:val="22"/>
      <w:lang w:val="en-US" w:eastAsia="zh-CN" w:bidi="ar-SA"/>
    </w:rPr>
  </w:style>
  <w:style w:type="paragraph" w:customStyle="1" w:styleId="110">
    <w:name w:val="Intense Quote"/>
    <w:basedOn w:val="1"/>
    <w:next w:val="1"/>
    <w:link w:val="109"/>
    <w:qFormat/>
    <w:uiPriority w:val="0"/>
    <w:pPr>
      <w:pBdr>
        <w:bottom w:val="single" w:color="4F81BD" w:sz="4" w:space="4"/>
      </w:pBdr>
      <w:spacing w:before="200" w:beforeLines="0" w:after="280" w:afterLines="0"/>
      <w:ind w:left="936" w:right="936"/>
    </w:pPr>
    <w:rPr>
      <w:rFonts w:ascii="Calibri" w:hAnsi="Calibri" w:eastAsia="宋体"/>
      <w:b/>
      <w:bCs/>
      <w:i/>
      <w:iCs/>
      <w:color w:val="4F81BD"/>
      <w:kern w:val="2"/>
      <w:sz w:val="22"/>
      <w:szCs w:val="22"/>
      <w:lang w:val="en-US" w:eastAsia="zh-CN" w:bidi="ar-SA"/>
    </w:rPr>
  </w:style>
  <w:style w:type="character" w:customStyle="1" w:styleId="111">
    <w:name w:val="Footnote Text Char1"/>
    <w:basedOn w:val="54"/>
    <w:qFormat/>
    <w:uiPriority w:val="0"/>
    <w:rPr>
      <w:rFonts w:cs="Times New Roman"/>
      <w:kern w:val="2"/>
      <w:sz w:val="18"/>
      <w:szCs w:val="18"/>
    </w:rPr>
  </w:style>
  <w:style w:type="character" w:customStyle="1" w:styleId="112">
    <w:name w:val=" Char Char85"/>
    <w:basedOn w:val="54"/>
    <w:qFormat/>
    <w:uiPriority w:val="0"/>
    <w:rPr>
      <w:rFonts w:ascii="Arial" w:hAnsi="Arial" w:eastAsia="黑体" w:cs="Times New Roman"/>
      <w:b/>
      <w:bCs/>
      <w:kern w:val="2"/>
      <w:sz w:val="32"/>
      <w:szCs w:val="32"/>
      <w:lang w:val="en-US" w:eastAsia="zh-CN" w:bidi="ar-SA"/>
    </w:rPr>
  </w:style>
  <w:style w:type="character" w:customStyle="1" w:styleId="113">
    <w:name w:val=" Char Char17"/>
    <w:basedOn w:val="54"/>
    <w:qFormat/>
    <w:uiPriority w:val="0"/>
    <w:rPr>
      <w:rFonts w:hAnsi="Arial" w:eastAsia="仿宋_GB2312"/>
      <w:sz w:val="30"/>
    </w:rPr>
  </w:style>
  <w:style w:type="character" w:customStyle="1" w:styleId="114">
    <w:name w:val="unnamed1"/>
    <w:basedOn w:val="54"/>
    <w:qFormat/>
    <w:uiPriority w:val="0"/>
  </w:style>
  <w:style w:type="character" w:customStyle="1" w:styleId="115">
    <w:name w:val="ca-141"/>
    <w:basedOn w:val="54"/>
    <w:qFormat/>
    <w:uiPriority w:val="0"/>
    <w:rPr>
      <w:rFonts w:hint="eastAsia" w:ascii="仿宋_GB2312" w:eastAsia="仿宋_GB2312"/>
      <w:sz w:val="21"/>
      <w:szCs w:val="21"/>
    </w:rPr>
  </w:style>
  <w:style w:type="character" w:customStyle="1" w:styleId="116">
    <w:name w:val=" Char Char64"/>
    <w:basedOn w:val="54"/>
    <w:qFormat/>
    <w:uiPriority w:val="0"/>
    <w:rPr>
      <w:rFonts w:ascii="宋体" w:hAnsi="宋体" w:eastAsia="宋体" w:cs="宋体"/>
      <w:color w:val="000000"/>
      <w:sz w:val="24"/>
      <w:szCs w:val="24"/>
      <w:lang w:val="en-US" w:eastAsia="zh-CN" w:bidi="ar-SA"/>
    </w:rPr>
  </w:style>
  <w:style w:type="character" w:customStyle="1" w:styleId="117">
    <w:name w:val="main_tdbg_7601"/>
    <w:basedOn w:val="54"/>
    <w:qFormat/>
    <w:uiPriority w:val="0"/>
    <w:rPr>
      <w:sz w:val="14"/>
      <w:szCs w:val="14"/>
    </w:rPr>
  </w:style>
  <w:style w:type="character" w:customStyle="1" w:styleId="118">
    <w:name w:val="14t1"/>
    <w:basedOn w:val="54"/>
    <w:qFormat/>
    <w:uiPriority w:val="0"/>
    <w:rPr>
      <w:rFonts w:hint="eastAsia" w:ascii="宋体" w:hAnsi="宋体" w:eastAsia="宋体"/>
      <w:sz w:val="11"/>
      <w:szCs w:val="11"/>
    </w:rPr>
  </w:style>
  <w:style w:type="character" w:customStyle="1" w:styleId="119">
    <w:name w:val=" Char Char72"/>
    <w:basedOn w:val="54"/>
    <w:qFormat/>
    <w:uiPriority w:val="0"/>
    <w:rPr>
      <w:rFonts w:eastAsia="宋体" w:cs="Times New Roman"/>
      <w:kern w:val="2"/>
      <w:sz w:val="24"/>
      <w:szCs w:val="24"/>
      <w:lang w:val="en-US" w:eastAsia="zh-CN" w:bidi="ar-SA"/>
    </w:rPr>
  </w:style>
  <w:style w:type="character" w:customStyle="1" w:styleId="120">
    <w:name w:val=" Char Char73"/>
    <w:basedOn w:val="54"/>
    <w:qFormat/>
    <w:uiPriority w:val="0"/>
    <w:rPr>
      <w:rFonts w:eastAsia="宋体" w:cs="Times New Roman"/>
      <w:sz w:val="24"/>
      <w:szCs w:val="24"/>
      <w:u w:val="single"/>
      <w:lang w:val="en-US" w:eastAsia="en-US" w:bidi="ar-SA"/>
    </w:rPr>
  </w:style>
  <w:style w:type="character" w:customStyle="1" w:styleId="121">
    <w:name w:val="Quote Char1"/>
    <w:basedOn w:val="54"/>
    <w:link w:val="122"/>
    <w:qFormat/>
    <w:uiPriority w:val="0"/>
    <w:rPr>
      <w:rFonts w:ascii="Calibri" w:hAnsi="Calibri" w:eastAsia="宋体"/>
      <w:i/>
      <w:iCs/>
      <w:color w:val="000000"/>
      <w:kern w:val="2"/>
      <w:sz w:val="22"/>
      <w:szCs w:val="22"/>
      <w:lang w:val="en-US" w:eastAsia="zh-CN" w:bidi="ar-SA"/>
    </w:rPr>
  </w:style>
  <w:style w:type="paragraph" w:customStyle="1" w:styleId="122">
    <w:name w:val="Quote"/>
    <w:basedOn w:val="1"/>
    <w:next w:val="1"/>
    <w:link w:val="121"/>
    <w:qFormat/>
    <w:uiPriority w:val="0"/>
    <w:rPr>
      <w:rFonts w:ascii="Calibri" w:hAnsi="Calibri" w:eastAsia="宋体"/>
      <w:i/>
      <w:iCs/>
      <w:color w:val="000000"/>
      <w:kern w:val="2"/>
      <w:sz w:val="22"/>
      <w:szCs w:val="22"/>
      <w:lang w:val="en-US" w:eastAsia="zh-CN" w:bidi="ar-SA"/>
    </w:rPr>
  </w:style>
  <w:style w:type="character" w:customStyle="1" w:styleId="123">
    <w:name w:val="Char Char1"/>
    <w:basedOn w:val="54"/>
    <w:qFormat/>
    <w:uiPriority w:val="0"/>
    <w:rPr>
      <w:rFonts w:eastAsia="宋体" w:cs="Times New Roman"/>
      <w:kern w:val="2"/>
      <w:sz w:val="18"/>
      <w:szCs w:val="18"/>
      <w:lang w:val="en-US" w:eastAsia="zh-CN" w:bidi="ar-SA"/>
    </w:rPr>
  </w:style>
  <w:style w:type="character" w:customStyle="1" w:styleId="124">
    <w:name w:val=" Char Char12"/>
    <w:basedOn w:val="54"/>
    <w:qFormat/>
    <w:uiPriority w:val="0"/>
    <w:rPr>
      <w:rFonts w:ascii="宋体" w:hAnsi="Courier New" w:cs="Courier New"/>
      <w:kern w:val="2"/>
      <w:sz w:val="21"/>
      <w:szCs w:val="21"/>
    </w:rPr>
  </w:style>
  <w:style w:type="character" w:customStyle="1" w:styleId="125">
    <w:name w:val="样式3 Char Char"/>
    <w:basedOn w:val="101"/>
    <w:qFormat/>
    <w:uiPriority w:val="0"/>
    <w:rPr>
      <w:rFonts w:ascii="宋体" w:hAnsi="宋体" w:eastAsia="仿宋_GB2312"/>
    </w:rPr>
  </w:style>
  <w:style w:type="character" w:customStyle="1" w:styleId="126">
    <w:name w:val="0d1471"/>
    <w:basedOn w:val="54"/>
    <w:qFormat/>
    <w:uiPriority w:val="0"/>
    <w:rPr>
      <w:color w:val="000000"/>
      <w:sz w:val="11"/>
      <w:szCs w:val="11"/>
      <w:u w:val="none"/>
    </w:rPr>
  </w:style>
  <w:style w:type="character" w:customStyle="1" w:styleId="127">
    <w:name w:val=" Char Char33"/>
    <w:basedOn w:val="54"/>
    <w:qFormat/>
    <w:uiPriority w:val="0"/>
    <w:rPr>
      <w:rFonts w:ascii="宋体" w:hAnsi="Courier New" w:eastAsia="宋体" w:cs="Times New Roman"/>
      <w:kern w:val="2"/>
      <w:sz w:val="21"/>
      <w:szCs w:val="21"/>
      <w:lang w:val="en-US" w:eastAsia="zh-CN" w:bidi="ar-SA"/>
    </w:rPr>
  </w:style>
  <w:style w:type="character" w:customStyle="1" w:styleId="128">
    <w:name w:val=" Char Char71"/>
    <w:basedOn w:val="54"/>
    <w:qFormat/>
    <w:uiPriority w:val="0"/>
    <w:rPr>
      <w:rFonts w:eastAsia="宋体" w:cs="Times New Roman"/>
      <w:sz w:val="24"/>
      <w:lang w:val="en-US" w:eastAsia="zh-CN" w:bidi="ar-SA"/>
    </w:rPr>
  </w:style>
  <w:style w:type="character" w:customStyle="1" w:styleId="129">
    <w:name w:val=" Char Char47"/>
    <w:basedOn w:val="54"/>
    <w:qFormat/>
    <w:uiPriority w:val="0"/>
    <w:rPr>
      <w:rFonts w:eastAsia="宋体" w:cs="Times New Roman"/>
      <w:sz w:val="24"/>
      <w:szCs w:val="24"/>
      <w:u w:val="single"/>
      <w:lang w:val="en-US" w:eastAsia="en-US" w:bidi="ar-SA"/>
    </w:rPr>
  </w:style>
  <w:style w:type="character" w:customStyle="1" w:styleId="130">
    <w:name w:val="手改 Char Char"/>
    <w:basedOn w:val="54"/>
    <w:qFormat/>
    <w:uiPriority w:val="0"/>
    <w:rPr>
      <w:kern w:val="2"/>
      <w:sz w:val="21"/>
      <w:szCs w:val="24"/>
    </w:rPr>
  </w:style>
  <w:style w:type="character" w:customStyle="1" w:styleId="131">
    <w:name w:val=" Char Char19"/>
    <w:basedOn w:val="54"/>
    <w:qFormat/>
    <w:uiPriority w:val="0"/>
    <w:rPr>
      <w:rFonts w:hAnsi="Arial" w:eastAsia="仿宋_GB2312"/>
      <w:sz w:val="30"/>
    </w:rPr>
  </w:style>
  <w:style w:type="character" w:customStyle="1" w:styleId="132">
    <w:name w:val=" Char Char44"/>
    <w:basedOn w:val="54"/>
    <w:qFormat/>
    <w:uiPriority w:val="0"/>
    <w:rPr>
      <w:rFonts w:eastAsia="宋体" w:cs="Times New Roman"/>
      <w:sz w:val="24"/>
      <w:szCs w:val="24"/>
      <w:u w:val="single"/>
      <w:lang w:val="en-US" w:eastAsia="en-US" w:bidi="ar-SA"/>
    </w:rPr>
  </w:style>
  <w:style w:type="character" w:customStyle="1" w:styleId="133">
    <w:name w:val=" Char Char3"/>
    <w:basedOn w:val="54"/>
    <w:qFormat/>
    <w:uiPriority w:val="0"/>
    <w:rPr>
      <w:rFonts w:ascii="Arial" w:hAnsi="Arial" w:cs="Arial"/>
      <w:sz w:val="18"/>
      <w:szCs w:val="18"/>
      <w:lang w:eastAsia="en-US"/>
    </w:rPr>
  </w:style>
  <w:style w:type="character" w:customStyle="1" w:styleId="134">
    <w:name w:val=" Char Char8"/>
    <w:basedOn w:val="54"/>
    <w:qFormat/>
    <w:uiPriority w:val="0"/>
    <w:rPr>
      <w:kern w:val="2"/>
      <w:sz w:val="18"/>
      <w:szCs w:val="18"/>
    </w:rPr>
  </w:style>
  <w:style w:type="character" w:customStyle="1" w:styleId="135">
    <w:name w:val=" Char Char10"/>
    <w:basedOn w:val="54"/>
    <w:qFormat/>
    <w:uiPriority w:val="0"/>
    <w:rPr>
      <w:kern w:val="2"/>
      <w:sz w:val="21"/>
      <w:szCs w:val="24"/>
    </w:rPr>
  </w:style>
  <w:style w:type="character" w:customStyle="1" w:styleId="136">
    <w:name w:val=" Char Char60"/>
    <w:basedOn w:val="54"/>
    <w:qFormat/>
    <w:uiPriority w:val="0"/>
    <w:rPr>
      <w:rFonts w:eastAsia="宋体" w:cs="Times New Roman"/>
      <w:kern w:val="2"/>
      <w:sz w:val="18"/>
      <w:szCs w:val="18"/>
      <w:lang w:val="en-US" w:eastAsia="zh-CN" w:bidi="ar-SA"/>
    </w:rPr>
  </w:style>
  <w:style w:type="character" w:customStyle="1" w:styleId="137">
    <w:name w:val="样式1 Char Char"/>
    <w:basedOn w:val="138"/>
    <w:link w:val="139"/>
    <w:qFormat/>
    <w:uiPriority w:val="0"/>
    <w:rPr>
      <w:rFonts w:ascii="宋体" w:hAnsi="宋体"/>
      <w:kern w:val="2"/>
      <w:sz w:val="21"/>
      <w:szCs w:val="21"/>
    </w:rPr>
  </w:style>
  <w:style w:type="character" w:customStyle="1" w:styleId="138">
    <w:name w:val=" Char Char28"/>
    <w:basedOn w:val="54"/>
    <w:qFormat/>
    <w:uiPriority w:val="0"/>
    <w:rPr>
      <w:rFonts w:eastAsia="宋体" w:cs="Times New Roman"/>
      <w:b/>
      <w:bCs/>
      <w:kern w:val="44"/>
      <w:sz w:val="44"/>
      <w:szCs w:val="44"/>
      <w:lang w:val="en-US" w:eastAsia="zh-CN" w:bidi="ar-SA"/>
    </w:rPr>
  </w:style>
  <w:style w:type="paragraph" w:customStyle="1" w:styleId="139">
    <w:name w:val="样式1"/>
    <w:basedOn w:val="1"/>
    <w:next w:val="8"/>
    <w:link w:val="137"/>
    <w:qFormat/>
    <w:uiPriority w:val="0"/>
    <w:pPr>
      <w:spacing w:line="360" w:lineRule="auto"/>
      <w:ind w:firstLine="420" w:firstLineChars="200"/>
    </w:pPr>
    <w:rPr>
      <w:rFonts w:ascii="宋体" w:hAnsi="宋体"/>
      <w:kern w:val="2"/>
      <w:sz w:val="21"/>
      <w:szCs w:val="21"/>
    </w:rPr>
  </w:style>
  <w:style w:type="character" w:customStyle="1" w:styleId="140">
    <w:name w:val="normaltext1"/>
    <w:basedOn w:val="54"/>
    <w:qFormat/>
    <w:uiPriority w:val="0"/>
    <w:rPr>
      <w:rFonts w:hint="default" w:ascii="ˎ̥" w:hAnsi="ˎ̥"/>
      <w:sz w:val="9"/>
      <w:szCs w:val="9"/>
    </w:rPr>
  </w:style>
  <w:style w:type="character" w:customStyle="1" w:styleId="141">
    <w:name w:val=" Char Char39"/>
    <w:basedOn w:val="54"/>
    <w:qFormat/>
    <w:uiPriority w:val="0"/>
    <w:rPr>
      <w:rFonts w:eastAsia="宋体" w:cs="Times New Roman"/>
      <w:kern w:val="2"/>
      <w:sz w:val="18"/>
      <w:szCs w:val="18"/>
      <w:lang w:val="en-US" w:eastAsia="zh-CN" w:bidi="ar-SA"/>
    </w:rPr>
  </w:style>
  <w:style w:type="character" w:customStyle="1" w:styleId="142">
    <w:name w:val=" Char Char70"/>
    <w:basedOn w:val="54"/>
    <w:qFormat/>
    <w:uiPriority w:val="0"/>
    <w:rPr>
      <w:rFonts w:eastAsia="宋体" w:cs="Times New Roman"/>
      <w:kern w:val="2"/>
      <w:sz w:val="18"/>
      <w:szCs w:val="18"/>
      <w:lang w:val="en-US" w:eastAsia="zh-CN" w:bidi="ar-SA"/>
    </w:rPr>
  </w:style>
  <w:style w:type="character" w:customStyle="1" w:styleId="143">
    <w:name w:val=" Char Char5"/>
    <w:basedOn w:val="54"/>
    <w:qFormat/>
    <w:uiPriority w:val="0"/>
    <w:rPr>
      <w:szCs w:val="24"/>
      <w:u w:val="single"/>
      <w:lang w:eastAsia="en-US"/>
    </w:rPr>
  </w:style>
  <w:style w:type="character" w:customStyle="1" w:styleId="144">
    <w:name w:val=" Char Char1"/>
    <w:basedOn w:val="54"/>
    <w:qFormat/>
    <w:uiPriority w:val="0"/>
    <w:rPr>
      <w:kern w:val="2"/>
      <w:sz w:val="16"/>
      <w:szCs w:val="16"/>
    </w:rPr>
  </w:style>
  <w:style w:type="character" w:customStyle="1" w:styleId="145">
    <w:name w:val="ht1"/>
    <w:basedOn w:val="54"/>
    <w:qFormat/>
    <w:uiPriority w:val="0"/>
    <w:rPr>
      <w:rFonts w:ascii="黑体" w:eastAsia="黑体"/>
      <w:b/>
      <w:bCs/>
    </w:rPr>
  </w:style>
  <w:style w:type="character" w:customStyle="1" w:styleId="146">
    <w:name w:val=" Char Char32"/>
    <w:basedOn w:val="54"/>
    <w:qFormat/>
    <w:uiPriority w:val="0"/>
    <w:rPr>
      <w:rFonts w:ascii="宋体" w:hAnsi="宋体" w:eastAsia="宋体" w:cs="Times New Roman"/>
      <w:kern w:val="2"/>
      <w:sz w:val="24"/>
      <w:szCs w:val="24"/>
      <w:lang w:val="en-US" w:eastAsia="zh-CN" w:bidi="ar-SA"/>
    </w:rPr>
  </w:style>
  <w:style w:type="character" w:customStyle="1" w:styleId="147">
    <w:name w:val=" Char Char9"/>
    <w:basedOn w:val="135"/>
    <w:qFormat/>
    <w:uiPriority w:val="0"/>
    <w:rPr>
      <w:b/>
      <w:bCs/>
    </w:rPr>
  </w:style>
  <w:style w:type="character" w:customStyle="1" w:styleId="148">
    <w:name w:val="font161"/>
    <w:basedOn w:val="54"/>
    <w:qFormat/>
    <w:uiPriority w:val="0"/>
    <w:rPr>
      <w:b/>
      <w:bCs/>
      <w:sz w:val="32"/>
      <w:szCs w:val="32"/>
    </w:rPr>
  </w:style>
  <w:style w:type="character" w:customStyle="1" w:styleId="149">
    <w:name w:val=" Char Char2"/>
    <w:basedOn w:val="54"/>
    <w:qFormat/>
    <w:uiPriority w:val="0"/>
    <w:rPr>
      <w:rFonts w:ascii="Arial" w:hAnsi="Arial" w:cs="Arial"/>
      <w:szCs w:val="24"/>
      <w:lang w:eastAsia="en-US"/>
    </w:rPr>
  </w:style>
  <w:style w:type="character" w:customStyle="1" w:styleId="150">
    <w:name w:val=" Char Char83"/>
    <w:basedOn w:val="54"/>
    <w:qFormat/>
    <w:uiPriority w:val="0"/>
    <w:rPr>
      <w:rFonts w:ascii="Arial" w:hAnsi="Arial" w:eastAsia="黑体" w:cs="Times New Roman"/>
      <w:b/>
      <w:bCs/>
      <w:kern w:val="2"/>
      <w:sz w:val="28"/>
      <w:szCs w:val="28"/>
      <w:lang w:val="en-US" w:eastAsia="zh-CN" w:bidi="ar-SA"/>
    </w:rPr>
  </w:style>
  <w:style w:type="character" w:customStyle="1" w:styleId="151">
    <w:name w:val=" Char Char14"/>
    <w:basedOn w:val="54"/>
    <w:qFormat/>
    <w:uiPriority w:val="0"/>
    <w:rPr>
      <w:kern w:val="2"/>
      <w:sz w:val="18"/>
      <w:szCs w:val="18"/>
    </w:rPr>
  </w:style>
  <w:style w:type="character" w:customStyle="1" w:styleId="152">
    <w:name w:val=" Char Char20"/>
    <w:basedOn w:val="54"/>
    <w:qFormat/>
    <w:uiPriority w:val="0"/>
    <w:rPr>
      <w:rFonts w:ascii="宋体" w:hAnsi="宋体" w:cs="宋体"/>
      <w:b/>
      <w:bCs/>
    </w:rPr>
  </w:style>
  <w:style w:type="character" w:customStyle="1" w:styleId="153">
    <w:name w:val="Document Map Char1"/>
    <w:basedOn w:val="54"/>
    <w:qFormat/>
    <w:uiPriority w:val="0"/>
    <w:rPr>
      <w:rFonts w:cs="Times New Roman"/>
      <w:kern w:val="2"/>
      <w:sz w:val="2"/>
    </w:rPr>
  </w:style>
  <w:style w:type="character" w:customStyle="1" w:styleId="154">
    <w:name w:val="标题5 Char Char"/>
    <w:link w:val="155"/>
    <w:qFormat/>
    <w:uiPriority w:val="0"/>
    <w:rPr>
      <w:rFonts w:ascii="Arial" w:hAnsi="Arial"/>
      <w:b/>
      <w:sz w:val="32"/>
      <w:lang w:bidi="ar-SA"/>
    </w:rPr>
  </w:style>
  <w:style w:type="paragraph" w:customStyle="1" w:styleId="155">
    <w:name w:val="标题5"/>
    <w:basedOn w:val="7"/>
    <w:link w:val="154"/>
    <w:qFormat/>
    <w:uiPriority w:val="0"/>
    <w:pPr>
      <w:spacing w:line="413" w:lineRule="auto"/>
    </w:pPr>
    <w:rPr>
      <w:rFonts w:ascii="Arial" w:hAnsi="Arial"/>
      <w:bCs w:val="0"/>
      <w:kern w:val="0"/>
      <w:szCs w:val="20"/>
    </w:rPr>
  </w:style>
  <w:style w:type="character" w:customStyle="1" w:styleId="156">
    <w:name w:val="style21"/>
    <w:basedOn w:val="54"/>
    <w:qFormat/>
    <w:uiPriority w:val="0"/>
    <w:rPr>
      <w:b/>
      <w:bCs/>
      <w:sz w:val="28"/>
      <w:szCs w:val="28"/>
    </w:rPr>
  </w:style>
  <w:style w:type="character" w:customStyle="1" w:styleId="157">
    <w:name w:val=" Char Char26"/>
    <w:basedOn w:val="54"/>
    <w:qFormat/>
    <w:uiPriority w:val="0"/>
    <w:rPr>
      <w:rFonts w:eastAsia="宋体" w:cs="Times New Roman"/>
      <w:b/>
      <w:bCs/>
      <w:kern w:val="2"/>
      <w:sz w:val="32"/>
      <w:szCs w:val="32"/>
      <w:lang w:val="en-US" w:eastAsia="zh-CN" w:bidi="ar-SA"/>
    </w:rPr>
  </w:style>
  <w:style w:type="character" w:customStyle="1" w:styleId="158">
    <w:name w:val="title11"/>
    <w:basedOn w:val="54"/>
    <w:qFormat/>
    <w:uiPriority w:val="0"/>
    <w:rPr>
      <w:b/>
      <w:bCs/>
      <w:color w:val="FFFFFF"/>
      <w:sz w:val="11"/>
      <w:szCs w:val="11"/>
    </w:rPr>
  </w:style>
  <w:style w:type="character" w:customStyle="1" w:styleId="159">
    <w:name w:val=" Char Char62"/>
    <w:basedOn w:val="54"/>
    <w:qFormat/>
    <w:uiPriority w:val="0"/>
    <w:rPr>
      <w:rFonts w:ascii="宋体" w:hAnsi="Courier New" w:eastAsia="宋体" w:cs="Times New Roman"/>
      <w:kern w:val="2"/>
      <w:sz w:val="21"/>
      <w:szCs w:val="21"/>
      <w:lang w:val="en-US" w:eastAsia="zh-CN" w:bidi="ar-SA"/>
    </w:rPr>
  </w:style>
  <w:style w:type="character" w:customStyle="1" w:styleId="160">
    <w:name w:val=" Char Char35"/>
    <w:basedOn w:val="54"/>
    <w:qFormat/>
    <w:uiPriority w:val="0"/>
    <w:rPr>
      <w:rFonts w:ascii="宋体" w:hAnsi="宋体" w:eastAsia="宋体" w:cs="宋体"/>
      <w:color w:val="000000"/>
      <w:sz w:val="24"/>
      <w:szCs w:val="24"/>
      <w:lang w:val="en-US" w:eastAsia="zh-CN" w:bidi="ar-SA"/>
    </w:rPr>
  </w:style>
  <w:style w:type="character" w:customStyle="1" w:styleId="161">
    <w:name w:val=" Char Char15"/>
    <w:basedOn w:val="54"/>
    <w:qFormat/>
    <w:uiPriority w:val="0"/>
    <w:rPr>
      <w:kern w:val="2"/>
      <w:sz w:val="21"/>
      <w:szCs w:val="24"/>
    </w:rPr>
  </w:style>
  <w:style w:type="character" w:customStyle="1" w:styleId="162">
    <w:name w:val=" Char Char74"/>
    <w:basedOn w:val="54"/>
    <w:qFormat/>
    <w:uiPriority w:val="0"/>
    <w:rPr>
      <w:rFonts w:eastAsia="宋体" w:cs="Times New Roman"/>
      <w:kern w:val="2"/>
      <w:sz w:val="24"/>
      <w:szCs w:val="24"/>
      <w:lang w:val="en-US" w:eastAsia="zh-CN" w:bidi="ar-SA"/>
    </w:rPr>
  </w:style>
  <w:style w:type="character" w:customStyle="1" w:styleId="163">
    <w:name w:val=" Char Char78"/>
    <w:basedOn w:val="54"/>
    <w:qFormat/>
    <w:uiPriority w:val="0"/>
    <w:rPr>
      <w:rFonts w:ascii="Arial" w:hAnsi="Arial" w:eastAsia="黑体" w:cs="Times New Roman"/>
      <w:kern w:val="2"/>
      <w:sz w:val="21"/>
      <w:szCs w:val="21"/>
      <w:lang w:val="en-US" w:eastAsia="zh-CN" w:bidi="ar-SA"/>
    </w:rPr>
  </w:style>
  <w:style w:type="character" w:customStyle="1" w:styleId="164">
    <w:name w:val="intel3"/>
    <w:basedOn w:val="54"/>
    <w:qFormat/>
    <w:uiPriority w:val="0"/>
  </w:style>
  <w:style w:type="character" w:customStyle="1" w:styleId="165">
    <w:name w:val=" Char Char29"/>
    <w:basedOn w:val="54"/>
    <w:qFormat/>
    <w:uiPriority w:val="0"/>
    <w:rPr>
      <w:rFonts w:cs="Times New Roman"/>
      <w:kern w:val="2"/>
      <w:sz w:val="16"/>
      <w:szCs w:val="16"/>
    </w:rPr>
  </w:style>
  <w:style w:type="character" w:customStyle="1" w:styleId="166">
    <w:name w:val=" Char Char16"/>
    <w:basedOn w:val="54"/>
    <w:qFormat/>
    <w:uiPriority w:val="0"/>
    <w:rPr>
      <w:rFonts w:eastAsia="仿宋_GB2312"/>
      <w:sz w:val="30"/>
    </w:rPr>
  </w:style>
  <w:style w:type="character" w:customStyle="1" w:styleId="167">
    <w:name w:val=" Char Char22"/>
    <w:basedOn w:val="54"/>
    <w:qFormat/>
    <w:uiPriority w:val="0"/>
    <w:rPr>
      <w:b/>
      <w:bCs/>
      <w:kern w:val="2"/>
      <w:sz w:val="32"/>
      <w:szCs w:val="32"/>
    </w:rPr>
  </w:style>
  <w:style w:type="character" w:customStyle="1" w:styleId="168">
    <w:name w:val=" Char Char76"/>
    <w:basedOn w:val="54"/>
    <w:qFormat/>
    <w:uiPriority w:val="0"/>
    <w:rPr>
      <w:rFonts w:eastAsia="宋体" w:cs="Times New Roman"/>
      <w:sz w:val="24"/>
      <w:szCs w:val="24"/>
      <w:u w:val="single"/>
      <w:lang w:val="en-US" w:eastAsia="en-US" w:bidi="ar-SA"/>
    </w:rPr>
  </w:style>
  <w:style w:type="character" w:customStyle="1" w:styleId="169">
    <w:name w:val="批注主题 Char Char"/>
    <w:basedOn w:val="85"/>
    <w:qFormat/>
    <w:uiPriority w:val="0"/>
    <w:rPr>
      <w:sz w:val="24"/>
    </w:rPr>
  </w:style>
  <w:style w:type="character" w:customStyle="1" w:styleId="170">
    <w:name w:val="style31"/>
    <w:basedOn w:val="54"/>
    <w:qFormat/>
    <w:uiPriority w:val="0"/>
    <w:rPr>
      <w:sz w:val="10"/>
      <w:szCs w:val="10"/>
    </w:rPr>
  </w:style>
  <w:style w:type="character" w:customStyle="1" w:styleId="171">
    <w:name w:val=" Char Char59"/>
    <w:basedOn w:val="54"/>
    <w:qFormat/>
    <w:uiPriority w:val="0"/>
    <w:rPr>
      <w:rFonts w:eastAsia="宋体" w:cs="Times New Roman"/>
      <w:sz w:val="24"/>
      <w:lang w:val="en-US" w:eastAsia="zh-CN" w:bidi="ar-SA"/>
    </w:rPr>
  </w:style>
  <w:style w:type="character" w:customStyle="1" w:styleId="172">
    <w:name w:val=" Char Char48"/>
    <w:basedOn w:val="173"/>
    <w:qFormat/>
    <w:uiPriority w:val="0"/>
  </w:style>
  <w:style w:type="character" w:customStyle="1" w:styleId="173">
    <w:name w:val=" Char Char40"/>
    <w:basedOn w:val="54"/>
    <w:qFormat/>
    <w:uiPriority w:val="0"/>
    <w:rPr>
      <w:rFonts w:ascii="宋体" w:hAnsi="宋体" w:eastAsia="宋体" w:cs="Times New Roman"/>
      <w:kern w:val="2"/>
      <w:sz w:val="24"/>
      <w:szCs w:val="24"/>
      <w:lang w:val="en-US" w:eastAsia="zh-CN" w:bidi="ar-SA"/>
    </w:rPr>
  </w:style>
  <w:style w:type="character" w:customStyle="1" w:styleId="174">
    <w:name w:val=" Char Char86"/>
    <w:basedOn w:val="54"/>
    <w:qFormat/>
    <w:uiPriority w:val="0"/>
    <w:rPr>
      <w:rFonts w:eastAsia="宋体" w:cs="Times New Roman"/>
      <w:b/>
      <w:bCs/>
      <w:kern w:val="44"/>
      <w:sz w:val="44"/>
      <w:szCs w:val="44"/>
      <w:lang w:val="en-US" w:eastAsia="zh-CN" w:bidi="ar-SA"/>
    </w:rPr>
  </w:style>
  <w:style w:type="character" w:customStyle="1" w:styleId="175">
    <w:name w:val=" Char Char67"/>
    <w:basedOn w:val="54"/>
    <w:qFormat/>
    <w:uiPriority w:val="0"/>
    <w:rPr>
      <w:rFonts w:eastAsia="宋体" w:cs="Times New Roman"/>
      <w:kern w:val="2"/>
      <w:sz w:val="24"/>
      <w:szCs w:val="24"/>
      <w:lang w:val="en-US" w:eastAsia="zh-CN" w:bidi="ar-SA"/>
    </w:rPr>
  </w:style>
  <w:style w:type="character" w:customStyle="1" w:styleId="176">
    <w:name w:val=" Char Char27"/>
    <w:basedOn w:val="54"/>
    <w:qFormat/>
    <w:uiPriority w:val="0"/>
    <w:rPr>
      <w:rFonts w:ascii="Arial" w:hAnsi="Arial" w:eastAsia="黑体" w:cs="Times New Roman"/>
      <w:b/>
      <w:bCs/>
      <w:kern w:val="2"/>
      <w:sz w:val="32"/>
      <w:szCs w:val="32"/>
      <w:lang w:val="en-US" w:eastAsia="zh-CN" w:bidi="ar-SA"/>
    </w:rPr>
  </w:style>
  <w:style w:type="character" w:customStyle="1" w:styleId="177">
    <w:name w:val="标题4 Char Char"/>
    <w:link w:val="178"/>
    <w:qFormat/>
    <w:uiPriority w:val="0"/>
    <w:rPr>
      <w:rFonts w:ascii="Arial" w:hAnsi="Arial"/>
      <w:b/>
      <w:sz w:val="32"/>
      <w:lang w:bidi="ar-SA"/>
    </w:rPr>
  </w:style>
  <w:style w:type="paragraph" w:customStyle="1" w:styleId="178">
    <w:name w:val="标题4"/>
    <w:basedOn w:val="6"/>
    <w:next w:val="25"/>
    <w:link w:val="177"/>
    <w:qFormat/>
    <w:uiPriority w:val="0"/>
    <w:pPr>
      <w:spacing w:line="413" w:lineRule="auto"/>
    </w:pPr>
    <w:rPr>
      <w:rFonts w:ascii="Arial" w:hAnsi="Arial"/>
      <w:bCs w:val="0"/>
      <w:kern w:val="0"/>
      <w:szCs w:val="20"/>
    </w:rPr>
  </w:style>
  <w:style w:type="character" w:customStyle="1" w:styleId="179">
    <w:name w:val=" Char Char61"/>
    <w:basedOn w:val="54"/>
    <w:qFormat/>
    <w:uiPriority w:val="0"/>
    <w:rPr>
      <w:rFonts w:ascii="宋体" w:hAnsi="宋体" w:eastAsia="宋体" w:cs="Times New Roman"/>
      <w:kern w:val="2"/>
      <w:sz w:val="24"/>
      <w:szCs w:val="24"/>
      <w:lang w:val="en-US" w:eastAsia="zh-CN" w:bidi="ar-SA"/>
    </w:rPr>
  </w:style>
  <w:style w:type="character" w:customStyle="1" w:styleId="180">
    <w:name w:val=" Char Char24"/>
    <w:basedOn w:val="54"/>
    <w:qFormat/>
    <w:uiPriority w:val="0"/>
    <w:rPr>
      <w:b/>
      <w:bCs/>
      <w:kern w:val="44"/>
      <w:sz w:val="44"/>
      <w:szCs w:val="44"/>
    </w:rPr>
  </w:style>
  <w:style w:type="character" w:customStyle="1" w:styleId="181">
    <w:name w:val="style161"/>
    <w:basedOn w:val="54"/>
    <w:qFormat/>
    <w:uiPriority w:val="0"/>
    <w:rPr>
      <w:b/>
      <w:bCs/>
      <w:color w:val="333333"/>
    </w:rPr>
  </w:style>
  <w:style w:type="character" w:customStyle="1" w:styleId="182">
    <w:name w:val=" Char Char57"/>
    <w:basedOn w:val="54"/>
    <w:qFormat/>
    <w:uiPriority w:val="0"/>
    <w:rPr>
      <w:rFonts w:eastAsia="宋体" w:cs="Times New Roman"/>
      <w:b/>
      <w:bCs/>
      <w:kern w:val="44"/>
      <w:sz w:val="44"/>
      <w:szCs w:val="44"/>
      <w:lang w:val="en-US" w:eastAsia="zh-CN" w:bidi="ar-SA"/>
    </w:rPr>
  </w:style>
  <w:style w:type="character" w:customStyle="1" w:styleId="183">
    <w:name w:val=" Char Char50"/>
    <w:basedOn w:val="54"/>
    <w:qFormat/>
    <w:uiPriority w:val="0"/>
    <w:rPr>
      <w:rFonts w:ascii="Arial" w:hAnsi="Arial" w:eastAsia="黑体" w:cs="Times New Roman"/>
      <w:kern w:val="2"/>
      <w:sz w:val="24"/>
      <w:szCs w:val="24"/>
      <w:lang w:val="en-US" w:eastAsia="zh-CN" w:bidi="ar-SA"/>
    </w:rPr>
  </w:style>
  <w:style w:type="character" w:customStyle="1" w:styleId="184">
    <w:name w:val=" Char Char41"/>
    <w:basedOn w:val="54"/>
    <w:qFormat/>
    <w:uiPriority w:val="0"/>
    <w:rPr>
      <w:rFonts w:eastAsia="宋体" w:cs="Times New Roman"/>
      <w:kern w:val="2"/>
      <w:sz w:val="18"/>
      <w:szCs w:val="18"/>
      <w:lang w:val="en-US" w:eastAsia="zh-CN" w:bidi="ar-SA"/>
    </w:rPr>
  </w:style>
  <w:style w:type="character" w:customStyle="1" w:styleId="185">
    <w:name w:val=" Char Char45"/>
    <w:basedOn w:val="54"/>
    <w:qFormat/>
    <w:uiPriority w:val="0"/>
    <w:rPr>
      <w:rFonts w:eastAsia="宋体" w:cs="Times New Roman"/>
      <w:kern w:val="2"/>
      <w:sz w:val="24"/>
      <w:szCs w:val="24"/>
      <w:lang w:val="en-US" w:eastAsia="zh-CN" w:bidi="ar-SA"/>
    </w:rPr>
  </w:style>
  <w:style w:type="character" w:customStyle="1" w:styleId="186">
    <w:name w:val="Endnote Text Char1"/>
    <w:basedOn w:val="54"/>
    <w:qFormat/>
    <w:uiPriority w:val="0"/>
    <w:rPr>
      <w:rFonts w:cs="Times New Roman"/>
      <w:kern w:val="2"/>
      <w:sz w:val="24"/>
      <w:szCs w:val="24"/>
    </w:rPr>
  </w:style>
  <w:style w:type="character" w:customStyle="1" w:styleId="187">
    <w:name w:val=" Char Char18"/>
    <w:basedOn w:val="54"/>
    <w:qFormat/>
    <w:uiPriority w:val="0"/>
    <w:rPr>
      <w:rFonts w:eastAsia="仿宋_GB2312"/>
      <w:sz w:val="30"/>
    </w:rPr>
  </w:style>
  <w:style w:type="character" w:customStyle="1" w:styleId="188">
    <w:name w:val="ss16"/>
    <w:basedOn w:val="54"/>
    <w:qFormat/>
    <w:uiPriority w:val="0"/>
    <w:rPr>
      <w:rFonts w:hint="eastAsia" w:ascii="宋体" w:hAnsi="宋体" w:eastAsia="宋体"/>
      <w:color w:val="000000"/>
      <w:sz w:val="9"/>
      <w:szCs w:val="9"/>
    </w:rPr>
  </w:style>
  <w:style w:type="character" w:customStyle="1" w:styleId="189">
    <w:name w:val=" Char Char49"/>
    <w:basedOn w:val="54"/>
    <w:qFormat/>
    <w:uiPriority w:val="0"/>
    <w:rPr>
      <w:rFonts w:ascii="Arial" w:hAnsi="Arial" w:eastAsia="黑体" w:cs="Times New Roman"/>
      <w:kern w:val="2"/>
      <w:sz w:val="21"/>
      <w:szCs w:val="21"/>
      <w:lang w:val="en-US" w:eastAsia="zh-CN" w:bidi="ar-SA"/>
    </w:rPr>
  </w:style>
  <w:style w:type="character" w:customStyle="1" w:styleId="190">
    <w:name w:val=" Char Char52"/>
    <w:basedOn w:val="54"/>
    <w:qFormat/>
    <w:uiPriority w:val="0"/>
    <w:rPr>
      <w:rFonts w:ascii="Arial" w:hAnsi="Arial" w:eastAsia="黑体" w:cs="Times New Roman"/>
      <w:b/>
      <w:bCs/>
      <w:kern w:val="2"/>
      <w:sz w:val="24"/>
      <w:szCs w:val="24"/>
      <w:lang w:val="en-US" w:eastAsia="zh-CN" w:bidi="ar-SA"/>
    </w:rPr>
  </w:style>
  <w:style w:type="character" w:customStyle="1" w:styleId="191">
    <w:name w:val=" Char Char53"/>
    <w:basedOn w:val="54"/>
    <w:qFormat/>
    <w:uiPriority w:val="0"/>
    <w:rPr>
      <w:rFonts w:eastAsia="宋体" w:cs="Times New Roman"/>
      <w:b/>
      <w:bCs/>
      <w:kern w:val="2"/>
      <w:sz w:val="28"/>
      <w:szCs w:val="28"/>
      <w:lang w:val="en-US" w:eastAsia="zh-CN" w:bidi="ar-SA"/>
    </w:rPr>
  </w:style>
  <w:style w:type="character" w:customStyle="1" w:styleId="192">
    <w:name w:val=" Char Char43"/>
    <w:basedOn w:val="54"/>
    <w:qFormat/>
    <w:uiPriority w:val="0"/>
    <w:rPr>
      <w:rFonts w:eastAsia="宋体" w:cs="Times New Roman"/>
      <w:kern w:val="2"/>
      <w:sz w:val="24"/>
      <w:szCs w:val="24"/>
      <w:lang w:val="en-US" w:eastAsia="zh-CN" w:bidi="ar-SA"/>
    </w:rPr>
  </w:style>
  <w:style w:type="character" w:customStyle="1" w:styleId="193">
    <w:name w:val=" Char Char82"/>
    <w:basedOn w:val="54"/>
    <w:qFormat/>
    <w:uiPriority w:val="0"/>
    <w:rPr>
      <w:rFonts w:eastAsia="宋体" w:cs="Times New Roman"/>
      <w:b/>
      <w:bCs/>
      <w:kern w:val="2"/>
      <w:sz w:val="28"/>
      <w:szCs w:val="28"/>
      <w:lang w:val="en-US" w:eastAsia="zh-CN" w:bidi="ar-SA"/>
    </w:rPr>
  </w:style>
  <w:style w:type="character" w:customStyle="1" w:styleId="194">
    <w:name w:val=" Char Char13"/>
    <w:basedOn w:val="54"/>
    <w:qFormat/>
    <w:uiPriority w:val="0"/>
    <w:rPr>
      <w:kern w:val="2"/>
      <w:sz w:val="18"/>
      <w:szCs w:val="18"/>
    </w:rPr>
  </w:style>
  <w:style w:type="character" w:customStyle="1" w:styleId="195">
    <w:name w:val="正文文字4 Char Char"/>
    <w:basedOn w:val="54"/>
    <w:qFormat/>
    <w:uiPriority w:val="0"/>
    <w:rPr>
      <w:kern w:val="2"/>
      <w:sz w:val="21"/>
      <w:szCs w:val="24"/>
    </w:rPr>
  </w:style>
  <w:style w:type="character" w:customStyle="1" w:styleId="196">
    <w:name w:val=" Char Char65"/>
    <w:basedOn w:val="128"/>
    <w:qFormat/>
    <w:uiPriority w:val="0"/>
    <w:rPr>
      <w:b/>
      <w:bCs/>
      <w:kern w:val="2"/>
      <w:szCs w:val="24"/>
    </w:rPr>
  </w:style>
  <w:style w:type="character" w:customStyle="1" w:styleId="197">
    <w:name w:val="apple-converted-space"/>
    <w:basedOn w:val="54"/>
    <w:qFormat/>
    <w:uiPriority w:val="0"/>
  </w:style>
  <w:style w:type="character" w:customStyle="1" w:styleId="198">
    <w:name w:val=" Char Char58"/>
    <w:basedOn w:val="54"/>
    <w:qFormat/>
    <w:uiPriority w:val="0"/>
    <w:rPr>
      <w:rFonts w:cs="Times New Roman"/>
      <w:kern w:val="2"/>
      <w:sz w:val="16"/>
      <w:szCs w:val="16"/>
    </w:rPr>
  </w:style>
  <w:style w:type="character" w:customStyle="1" w:styleId="199">
    <w:name w:val="Plain Text Char"/>
    <w:basedOn w:val="54"/>
    <w:qFormat/>
    <w:uiPriority w:val="0"/>
    <w:rPr>
      <w:rFonts w:ascii="宋体" w:hAnsi="Courier New" w:cs="Courier New"/>
      <w:kern w:val="2"/>
      <w:sz w:val="21"/>
      <w:szCs w:val="21"/>
    </w:rPr>
  </w:style>
  <w:style w:type="character" w:customStyle="1" w:styleId="200">
    <w:name w:val=" Char Char31"/>
    <w:basedOn w:val="54"/>
    <w:qFormat/>
    <w:uiPriority w:val="0"/>
    <w:rPr>
      <w:rFonts w:eastAsia="宋体" w:cs="Times New Roman"/>
      <w:kern w:val="2"/>
      <w:sz w:val="18"/>
      <w:szCs w:val="18"/>
      <w:lang w:val="en-US" w:eastAsia="zh-CN" w:bidi="ar-SA"/>
    </w:rPr>
  </w:style>
  <w:style w:type="character" w:customStyle="1" w:styleId="201">
    <w:name w:val=" Char Char34"/>
    <w:basedOn w:val="54"/>
    <w:qFormat/>
    <w:uiPriority w:val="0"/>
    <w:rPr>
      <w:rFonts w:eastAsia="宋体" w:cs="Times New Roman"/>
      <w:kern w:val="2"/>
      <w:sz w:val="18"/>
      <w:szCs w:val="18"/>
      <w:lang w:val="en-US" w:eastAsia="zh-CN" w:bidi="ar-SA"/>
    </w:rPr>
  </w:style>
  <w:style w:type="character" w:customStyle="1" w:styleId="202">
    <w:name w:val=" Char Char80"/>
    <w:basedOn w:val="54"/>
    <w:qFormat/>
    <w:uiPriority w:val="0"/>
    <w:rPr>
      <w:rFonts w:eastAsia="宋体" w:cs="Times New Roman"/>
      <w:b/>
      <w:bCs/>
      <w:kern w:val="2"/>
      <w:sz w:val="24"/>
      <w:szCs w:val="24"/>
      <w:lang w:val="en-US" w:eastAsia="zh-CN" w:bidi="ar-SA"/>
    </w:rPr>
  </w:style>
  <w:style w:type="character" w:customStyle="1" w:styleId="203">
    <w:name w:val="docpro"/>
    <w:basedOn w:val="54"/>
    <w:qFormat/>
    <w:uiPriority w:val="0"/>
  </w:style>
  <w:style w:type="character" w:customStyle="1" w:styleId="204">
    <w:name w:val=" Char Char51"/>
    <w:basedOn w:val="54"/>
    <w:qFormat/>
    <w:uiPriority w:val="0"/>
    <w:rPr>
      <w:rFonts w:eastAsia="宋体" w:cs="Times New Roman"/>
      <w:b/>
      <w:bCs/>
      <w:kern w:val="2"/>
      <w:sz w:val="24"/>
      <w:szCs w:val="24"/>
      <w:lang w:val="en-US" w:eastAsia="zh-CN" w:bidi="ar-SA"/>
    </w:rPr>
  </w:style>
  <w:style w:type="character" w:customStyle="1" w:styleId="205">
    <w:name w:val=" Char Char68"/>
    <w:basedOn w:val="54"/>
    <w:qFormat/>
    <w:uiPriority w:val="0"/>
    <w:rPr>
      <w:rFonts w:eastAsia="宋体" w:cs="Times New Roman"/>
      <w:kern w:val="2"/>
      <w:sz w:val="18"/>
      <w:szCs w:val="18"/>
      <w:lang w:val="en-US" w:eastAsia="zh-CN" w:bidi="ar-SA"/>
    </w:rPr>
  </w:style>
  <w:style w:type="character" w:customStyle="1" w:styleId="206">
    <w:name w:val=" Char Char6"/>
    <w:basedOn w:val="54"/>
    <w:qFormat/>
    <w:uiPriority w:val="0"/>
    <w:rPr>
      <w:rFonts w:ascii="宋体" w:hAnsi="宋体"/>
      <w:kern w:val="2"/>
      <w:sz w:val="28"/>
      <w:szCs w:val="28"/>
    </w:rPr>
  </w:style>
  <w:style w:type="character" w:customStyle="1" w:styleId="207">
    <w:name w:val=" Char Char11"/>
    <w:basedOn w:val="54"/>
    <w:qFormat/>
    <w:uiPriority w:val="0"/>
    <w:rPr>
      <w:rFonts w:ascii="宋体" w:hAnsi="宋体" w:cs="宋体"/>
      <w:color w:val="000000"/>
      <w:sz w:val="24"/>
      <w:szCs w:val="24"/>
    </w:rPr>
  </w:style>
  <w:style w:type="character" w:customStyle="1" w:styleId="208">
    <w:name w:val=" Char Char55"/>
    <w:basedOn w:val="54"/>
    <w:qFormat/>
    <w:uiPriority w:val="0"/>
    <w:rPr>
      <w:rFonts w:eastAsia="宋体" w:cs="Times New Roman"/>
      <w:b/>
      <w:bCs/>
      <w:kern w:val="2"/>
      <w:sz w:val="32"/>
      <w:szCs w:val="32"/>
      <w:lang w:val="en-US" w:eastAsia="zh-CN" w:bidi="ar-SA"/>
    </w:rPr>
  </w:style>
  <w:style w:type="character" w:customStyle="1" w:styleId="209">
    <w:name w:val=" Char Char30"/>
    <w:basedOn w:val="54"/>
    <w:qFormat/>
    <w:uiPriority w:val="0"/>
    <w:rPr>
      <w:rFonts w:eastAsia="宋体" w:cs="Times New Roman"/>
      <w:sz w:val="24"/>
      <w:lang w:val="en-US" w:eastAsia="zh-CN" w:bidi="ar-SA"/>
    </w:rPr>
  </w:style>
  <w:style w:type="character" w:customStyle="1" w:styleId="210">
    <w:name w:val=" Char Char25"/>
    <w:basedOn w:val="54"/>
    <w:qFormat/>
    <w:uiPriority w:val="0"/>
    <w:rPr>
      <w:rFonts w:ascii="Arial" w:hAnsi="Arial" w:eastAsia="黑体" w:cs="Times New Roman"/>
      <w:b/>
      <w:bCs/>
      <w:kern w:val="2"/>
      <w:sz w:val="28"/>
      <w:szCs w:val="28"/>
      <w:lang w:val="en-US" w:eastAsia="zh-CN" w:bidi="ar-SA"/>
    </w:rPr>
  </w:style>
  <w:style w:type="character" w:customStyle="1" w:styleId="211">
    <w:name w:val=" Char Char46"/>
    <w:basedOn w:val="54"/>
    <w:qFormat/>
    <w:uiPriority w:val="0"/>
    <w:rPr>
      <w:rFonts w:eastAsia="宋体" w:cs="Times New Roman"/>
      <w:sz w:val="24"/>
      <w:lang w:val="en-US" w:eastAsia="zh-CN" w:bidi="ar-SA"/>
    </w:rPr>
  </w:style>
  <w:style w:type="character" w:customStyle="1" w:styleId="212">
    <w:name w:val=" Char Char7"/>
    <w:basedOn w:val="54"/>
    <w:qFormat/>
    <w:uiPriority w:val="0"/>
    <w:rPr>
      <w:sz w:val="28"/>
      <w:szCs w:val="24"/>
    </w:rPr>
  </w:style>
  <w:style w:type="character" w:customStyle="1" w:styleId="213">
    <w:name w:val=" Char Char79"/>
    <w:basedOn w:val="54"/>
    <w:qFormat/>
    <w:uiPriority w:val="0"/>
    <w:rPr>
      <w:rFonts w:ascii="Arial" w:hAnsi="Arial" w:eastAsia="黑体" w:cs="Times New Roman"/>
      <w:kern w:val="2"/>
      <w:sz w:val="24"/>
      <w:szCs w:val="24"/>
      <w:lang w:val="en-US" w:eastAsia="zh-CN" w:bidi="ar-SA"/>
    </w:rPr>
  </w:style>
  <w:style w:type="character" w:customStyle="1" w:styleId="214">
    <w:name w:val="color_red1"/>
    <w:basedOn w:val="54"/>
    <w:qFormat/>
    <w:uiPriority w:val="0"/>
    <w:rPr>
      <w:color w:val="FA0004"/>
    </w:rPr>
  </w:style>
  <w:style w:type="character" w:customStyle="1" w:styleId="215">
    <w:name w:val=" Char Char37"/>
    <w:basedOn w:val="54"/>
    <w:qFormat/>
    <w:uiPriority w:val="0"/>
    <w:rPr>
      <w:rFonts w:cs="Times New Roman"/>
      <w:kern w:val="2"/>
      <w:sz w:val="24"/>
      <w:szCs w:val="24"/>
    </w:rPr>
  </w:style>
  <w:style w:type="paragraph" w:customStyle="1" w:styleId="216">
    <w:name w:val="rw"/>
    <w:basedOn w:val="1"/>
    <w:qFormat/>
    <w:uiPriority w:val="0"/>
    <w:pPr>
      <w:widowControl/>
      <w:spacing w:before="30" w:beforeLines="0"/>
      <w:ind w:left="100" w:right="100"/>
      <w:jc w:val="right"/>
    </w:pPr>
    <w:rPr>
      <w:rFonts w:ascii="方正仿宋简体" w:hAnsi="宋体" w:eastAsia="方正仿宋简体"/>
      <w:color w:val="000000"/>
      <w:kern w:val="0"/>
      <w:szCs w:val="21"/>
    </w:rPr>
  </w:style>
  <w:style w:type="paragraph" w:customStyle="1" w:styleId="217">
    <w:name w:val="1"/>
    <w:basedOn w:val="1"/>
    <w:qFormat/>
    <w:uiPriority w:val="0"/>
    <w:pPr>
      <w:widowControl/>
      <w:spacing w:before="100" w:beforeLines="0" w:beforeAutospacing="1" w:after="100" w:afterLines="0" w:afterAutospacing="1"/>
      <w:jc w:val="left"/>
    </w:pPr>
    <w:rPr>
      <w:rFonts w:ascii="ˎ̥" w:hAnsi="ˎ̥" w:cs="宋体"/>
      <w:kern w:val="0"/>
      <w:sz w:val="24"/>
    </w:rPr>
  </w:style>
  <w:style w:type="paragraph" w:customStyle="1" w:styleId="218">
    <w:name w:val="intel1"/>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19">
    <w:name w:val="样式 标题 2 + Times New Roman 四号 非加粗 段前: 5 磅 段后: 0 磅 行距: 固定值 20..."/>
    <w:basedOn w:val="6"/>
    <w:qFormat/>
    <w:uiPriority w:val="0"/>
    <w:pPr>
      <w:spacing w:before="100" w:beforeLines="0" w:after="0" w:afterLines="0" w:line="400" w:lineRule="exact"/>
    </w:pPr>
    <w:rPr>
      <w:rFonts w:ascii="Times New Roman" w:hAnsi="Times New Roman" w:eastAsia="黑体" w:cs="宋体"/>
      <w:b w:val="0"/>
      <w:bCs w:val="0"/>
      <w:sz w:val="28"/>
      <w:szCs w:val="20"/>
    </w:rPr>
  </w:style>
  <w:style w:type="paragraph" w:customStyle="1" w:styleId="220">
    <w:name w:val="样式3"/>
    <w:basedOn w:val="7"/>
    <w:qFormat/>
    <w:uiPriority w:val="0"/>
    <w:pPr>
      <w:autoSpaceDE w:val="0"/>
      <w:autoSpaceDN w:val="0"/>
      <w:adjustRightInd w:val="0"/>
      <w:spacing w:before="0" w:beforeLines="0" w:after="0" w:afterLines="0" w:line="360" w:lineRule="auto"/>
      <w:ind w:left="119" w:right="-23"/>
      <w:jc w:val="left"/>
    </w:pPr>
    <w:rPr>
      <w:rFonts w:ascii="宋体" w:hAnsi="宋体" w:eastAsia="仿宋_GB2312"/>
      <w:kern w:val="0"/>
      <w:sz w:val="24"/>
    </w:rPr>
  </w:style>
  <w:style w:type="paragraph" w:customStyle="1" w:styleId="221">
    <w:name w:val=" 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222">
    <w:name w:val="WW-表格标题"/>
    <w:basedOn w:val="223"/>
    <w:qFormat/>
    <w:uiPriority w:val="0"/>
  </w:style>
  <w:style w:type="paragraph" w:customStyle="1" w:styleId="223">
    <w:name w:val="WW-表格内容"/>
    <w:basedOn w:val="1"/>
    <w:qFormat/>
    <w:uiPriority w:val="0"/>
    <w:pPr>
      <w:suppressLineNumbers/>
      <w:suppressAutoHyphens/>
    </w:pPr>
  </w:style>
  <w:style w:type="paragraph" w:customStyle="1" w:styleId="224">
    <w:name w:val=" Char Char Char Char Char Char Char"/>
    <w:basedOn w:val="1"/>
    <w:qFormat/>
    <w:uiPriority w:val="0"/>
    <w:rPr>
      <w:snapToGrid w:val="0"/>
      <w:color w:val="000000"/>
      <w:spacing w:val="16"/>
      <w:sz w:val="22"/>
      <w:szCs w:val="22"/>
    </w:rPr>
  </w:style>
  <w:style w:type="paragraph" w:styleId="225">
    <w:name w:val="List Paragraph"/>
    <w:basedOn w:val="1"/>
    <w:qFormat/>
    <w:uiPriority w:val="0"/>
    <w:pPr>
      <w:ind w:firstLine="420" w:firstLineChars="200"/>
    </w:pPr>
    <w:rPr>
      <w:sz w:val="28"/>
      <w:szCs w:val="28"/>
    </w:rPr>
  </w:style>
  <w:style w:type="paragraph" w:customStyle="1" w:styleId="226">
    <w:name w:val="样式 标题 3 + (中文) 黑体 小四 非加粗 段前: 7.8 磅 段后: 0 磅 行距: 固定值 20 磅"/>
    <w:basedOn w:val="7"/>
    <w:next w:val="1"/>
    <w:qFormat/>
    <w:uiPriority w:val="0"/>
    <w:pPr>
      <w:spacing w:before="0" w:beforeLines="0" w:after="0" w:afterLines="0" w:line="400" w:lineRule="exact"/>
    </w:pPr>
    <w:rPr>
      <w:rFonts w:eastAsia="黑体" w:cs="宋体"/>
      <w:b w:val="0"/>
      <w:bCs w:val="0"/>
      <w:sz w:val="24"/>
      <w:szCs w:val="20"/>
    </w:rPr>
  </w:style>
  <w:style w:type="paragraph" w:customStyle="1" w:styleId="227">
    <w:name w:val="rr"/>
    <w:basedOn w:val="1"/>
    <w:qFormat/>
    <w:uiPriority w:val="0"/>
    <w:pPr>
      <w:widowControl/>
      <w:spacing w:before="100" w:beforeLines="0" w:beforeAutospacing="1" w:after="100" w:afterLines="0" w:afterAutospacing="1"/>
      <w:jc w:val="left"/>
    </w:pPr>
    <w:rPr>
      <w:rFonts w:hint="eastAsia" w:ascii="宋体" w:hAnsi="宋体"/>
      <w:kern w:val="0"/>
      <w:szCs w:val="21"/>
    </w:rPr>
  </w:style>
  <w:style w:type="paragraph" w:customStyle="1" w:styleId="22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229">
    <w:name w:val="样式2"/>
    <w:basedOn w:val="6"/>
    <w:qFormat/>
    <w:uiPriority w:val="0"/>
    <w:pPr>
      <w:autoSpaceDE w:val="0"/>
      <w:autoSpaceDN w:val="0"/>
      <w:adjustRightInd w:val="0"/>
      <w:spacing w:line="300" w:lineRule="exact"/>
      <w:ind w:left="220" w:right="-20"/>
      <w:jc w:val="center"/>
    </w:pPr>
    <w:rPr>
      <w:rFonts w:ascii="宋体" w:hAnsi="宋体" w:eastAsia="仿宋_GB2312"/>
      <w:w w:val="99"/>
      <w:kern w:val="0"/>
      <w:sz w:val="28"/>
      <w:szCs w:val="28"/>
    </w:rPr>
  </w:style>
  <w:style w:type="paragraph" w:customStyle="1" w:styleId="230">
    <w:name w:val="Char"/>
    <w:basedOn w:val="1"/>
    <w:qFormat/>
    <w:uiPriority w:val="0"/>
    <w:rPr>
      <w:szCs w:val="20"/>
    </w:rPr>
  </w:style>
  <w:style w:type="paragraph" w:customStyle="1" w:styleId="231">
    <w:name w:val="表格标题"/>
    <w:basedOn w:val="232"/>
    <w:qFormat/>
    <w:uiPriority w:val="0"/>
  </w:style>
  <w:style w:type="paragraph" w:customStyle="1" w:styleId="232">
    <w:name w:val="表格内容"/>
    <w:basedOn w:val="1"/>
    <w:qFormat/>
    <w:uiPriority w:val="0"/>
    <w:pPr>
      <w:suppressLineNumbers/>
      <w:suppressAutoHyphens/>
    </w:pPr>
  </w:style>
  <w:style w:type="paragraph" w:customStyle="1" w:styleId="233">
    <w:name w:val="目录"/>
    <w:basedOn w:val="1"/>
    <w:qFormat/>
    <w:uiPriority w:val="0"/>
    <w:pPr>
      <w:widowControl/>
      <w:jc w:val="center"/>
    </w:pPr>
    <w:rPr>
      <w:rFonts w:ascii="宋体"/>
      <w:b/>
      <w:kern w:val="0"/>
      <w:sz w:val="36"/>
      <w:szCs w:val="20"/>
    </w:rPr>
  </w:style>
  <w:style w:type="paragraph" w:customStyle="1" w:styleId="234">
    <w:name w:val="正文小标题"/>
    <w:basedOn w:val="1"/>
    <w:qFormat/>
    <w:uiPriority w:val="0"/>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szCs w:val="20"/>
    </w:rPr>
  </w:style>
  <w:style w:type="paragraph" w:customStyle="1" w:styleId="235">
    <w:name w:val="mtitle"/>
    <w:basedOn w:val="1"/>
    <w:qFormat/>
    <w:uiPriority w:val="0"/>
    <w:pPr>
      <w:widowControl/>
      <w:spacing w:before="30" w:beforeLines="0"/>
      <w:jc w:val="center"/>
    </w:pPr>
    <w:rPr>
      <w:rFonts w:ascii="方正小标宋简体" w:hAnsi="宋体" w:eastAsia="方正小标宋简体"/>
      <w:color w:val="000000"/>
      <w:kern w:val="0"/>
      <w:sz w:val="44"/>
      <w:szCs w:val="44"/>
    </w:rPr>
  </w:style>
  <w:style w:type="paragraph" w:customStyle="1" w:styleId="236">
    <w:name w:val="Char Char1 Char Char Char Char Char Char Char"/>
    <w:basedOn w:val="1"/>
    <w:qFormat/>
    <w:uiPriority w:val="0"/>
    <w:pPr>
      <w:pageBreakBefore/>
    </w:pPr>
    <w:rPr>
      <w:rFonts w:ascii="Calibri" w:hAnsi="Calibri" w:cs="Calibri"/>
    </w:rPr>
  </w:style>
  <w:style w:type="paragraph" w:customStyle="1" w:styleId="237">
    <w:name w:val="Char Char Char Char Char Char Char Char Char Char Char Char Char Char Char Char Char Char Char Char Char Char"/>
    <w:basedOn w:val="1"/>
    <w:qFormat/>
    <w:uiPriority w:val="0"/>
    <w:pPr>
      <w:widowControl/>
      <w:spacing w:line="400" w:lineRule="exact"/>
      <w:jc w:val="center"/>
    </w:pPr>
    <w:rPr>
      <w:szCs w:val="20"/>
    </w:rPr>
  </w:style>
  <w:style w:type="paragraph" w:customStyle="1" w:styleId="238">
    <w:name w:val="pa-27"/>
    <w:basedOn w:val="1"/>
    <w:qFormat/>
    <w:uiPriority w:val="0"/>
    <w:pPr>
      <w:widowControl/>
      <w:spacing w:line="360" w:lineRule="atLeast"/>
      <w:ind w:firstLine="420"/>
    </w:pPr>
    <w:rPr>
      <w:rFonts w:ascii="宋体" w:hAnsi="宋体" w:cs="宋体"/>
      <w:kern w:val="0"/>
      <w:sz w:val="24"/>
    </w:rPr>
  </w:style>
  <w:style w:type="paragraph" w:customStyle="1" w:styleId="239">
    <w:name w:val="zw"/>
    <w:basedOn w:val="1"/>
    <w:qFormat/>
    <w:uiPriority w:val="0"/>
    <w:pPr>
      <w:widowControl/>
      <w:spacing w:before="30" w:beforeLines="0"/>
      <w:ind w:left="100" w:right="100"/>
    </w:pPr>
    <w:rPr>
      <w:rFonts w:ascii="方正书宋简体" w:hAnsi="宋体" w:eastAsia="方正书宋简体"/>
      <w:color w:val="000000"/>
      <w:kern w:val="0"/>
      <w:szCs w:val="21"/>
    </w:rPr>
  </w:style>
  <w:style w:type="paragraph" w:customStyle="1" w:styleId="240">
    <w:name w:val="title"/>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41">
    <w:name w:val="样式 标题 1 + (西文) 宋体 非加粗 黑色 两端对齐 左侧:  0 厘米 首行缩进:  0.89 厘米"/>
    <w:basedOn w:val="5"/>
    <w:qFormat/>
    <w:uiPriority w:val="0"/>
    <w:pPr>
      <w:keepLines w:val="0"/>
      <w:tabs>
        <w:tab w:val="left" w:pos="1140"/>
      </w:tabs>
      <w:adjustRightInd w:val="0"/>
      <w:snapToGrid w:val="0"/>
      <w:spacing w:before="0" w:beforeLines="0" w:after="0" w:afterLines="0" w:line="360" w:lineRule="auto"/>
      <w:ind w:left="1140" w:hanging="720"/>
      <w:jc w:val="center"/>
      <w:textAlignment w:val="baseline"/>
    </w:pPr>
    <w:rPr>
      <w:rFonts w:ascii="宋体" w:hAnsi="宋体" w:eastAsia="黑体"/>
      <w:bCs w:val="0"/>
      <w:color w:val="000000"/>
      <w:kern w:val="0"/>
      <w:sz w:val="30"/>
      <w:szCs w:val="30"/>
    </w:rPr>
  </w:style>
  <w:style w:type="paragraph" w:customStyle="1" w:styleId="242">
    <w:name w:val="表格"/>
    <w:basedOn w:val="1"/>
    <w:qFormat/>
    <w:uiPriority w:val="0"/>
    <w:pPr>
      <w:jc w:val="center"/>
      <w:textAlignment w:val="center"/>
    </w:pPr>
    <w:rPr>
      <w:rFonts w:ascii="华文细黑" w:hAnsi="华文细黑"/>
      <w:kern w:val="0"/>
      <w:szCs w:val="20"/>
    </w:rPr>
  </w:style>
  <w:style w:type="paragraph" w:customStyle="1" w:styleId="243">
    <w:name w:val="自定样式1"/>
    <w:basedOn w:val="1"/>
    <w:qFormat/>
    <w:uiPriority w:val="0"/>
    <w:pPr>
      <w:suppressAutoHyphens/>
      <w:jc w:val="center"/>
    </w:pPr>
    <w:rPr>
      <w:rFonts w:ascii="宋体" w:hAnsi="宋体"/>
      <w:color w:val="000000"/>
      <w:sz w:val="18"/>
    </w:rPr>
  </w:style>
  <w:style w:type="paragraph" w:customStyle="1" w:styleId="24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45">
    <w:name w:val="style12"/>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246">
    <w:name w:val="zz"/>
    <w:basedOn w:val="1"/>
    <w:uiPriority w:val="0"/>
    <w:pPr>
      <w:widowControl/>
      <w:spacing w:before="30" w:beforeLines="0"/>
      <w:jc w:val="right"/>
    </w:pPr>
    <w:rPr>
      <w:rFonts w:ascii="方正书宋简体" w:hAnsi="宋体" w:eastAsia="方正书宋简体"/>
      <w:color w:val="000000"/>
      <w:kern w:val="0"/>
      <w:szCs w:val="21"/>
    </w:rPr>
  </w:style>
  <w:style w:type="paragraph" w:customStyle="1" w:styleId="247">
    <w:name w:val="g2"/>
    <w:basedOn w:val="1"/>
    <w:qFormat/>
    <w:uiPriority w:val="0"/>
    <w:pPr>
      <w:widowControl/>
      <w:spacing w:before="100" w:beforeLines="0" w:beforeAutospacing="1" w:after="100" w:afterLines="0" w:afterAutospacing="1"/>
      <w:jc w:val="left"/>
    </w:pPr>
    <w:rPr>
      <w:rFonts w:ascii="仿宋_GB2312" w:hAnsi="宋体" w:eastAsia="仿宋_GB2312" w:cs="宋体"/>
      <w:kern w:val="0"/>
      <w:sz w:val="17"/>
      <w:szCs w:val="17"/>
    </w:rPr>
  </w:style>
  <w:style w:type="paragraph" w:customStyle="1" w:styleId="248">
    <w:name w:val="_Style 246"/>
    <w:basedOn w:val="5"/>
    <w:next w:val="1"/>
    <w:qFormat/>
    <w:uiPriority w:val="0"/>
    <w:pPr>
      <w:widowControl/>
      <w:spacing w:before="480" w:beforeLines="0" w:after="0" w:afterLines="0" w:line="276" w:lineRule="auto"/>
      <w:jc w:val="left"/>
      <w:outlineLvl w:val="9"/>
    </w:pPr>
    <w:rPr>
      <w:rFonts w:ascii="Cambria" w:hAnsi="Cambria"/>
      <w:color w:val="365F91"/>
      <w:kern w:val="0"/>
      <w:sz w:val="28"/>
      <w:szCs w:val="28"/>
    </w:rPr>
  </w:style>
  <w:style w:type="paragraph" w:customStyle="1" w:styleId="249">
    <w:name w:val="g3"/>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50">
    <w:name w:val="ly"/>
    <w:basedOn w:val="1"/>
    <w:uiPriority w:val="0"/>
    <w:pPr>
      <w:widowControl/>
      <w:spacing w:before="30" w:beforeLines="0"/>
      <w:jc w:val="right"/>
    </w:pPr>
    <w:rPr>
      <w:rFonts w:ascii="方正书宋简体" w:hAnsi="宋体" w:eastAsia="方正书宋简体"/>
      <w:color w:val="000000"/>
      <w:kern w:val="0"/>
      <w:szCs w:val="21"/>
    </w:rPr>
  </w:style>
  <w:style w:type="paragraph" w:customStyle="1" w:styleId="251">
    <w:name w:val="l-2"/>
    <w:basedOn w:val="1"/>
    <w:qFormat/>
    <w:uiPriority w:val="0"/>
    <w:pPr>
      <w:widowControl/>
      <w:spacing w:before="100" w:beforeLines="0" w:beforeAutospacing="1" w:after="100" w:afterLines="0" w:afterAutospacing="1"/>
      <w:jc w:val="left"/>
    </w:pPr>
    <w:rPr>
      <w:rFonts w:ascii="宋体" w:hAnsi="宋体" w:cs="宋体"/>
      <w:b/>
      <w:bCs/>
      <w:color w:val="000000"/>
      <w:kern w:val="0"/>
      <w:sz w:val="13"/>
      <w:szCs w:val="13"/>
    </w:rPr>
  </w:style>
  <w:style w:type="paragraph" w:customStyle="1" w:styleId="252">
    <w:name w:val="Char9"/>
    <w:basedOn w:val="18"/>
    <w:qFormat/>
    <w:uiPriority w:val="0"/>
    <w:pPr>
      <w:spacing w:line="360" w:lineRule="auto"/>
      <w:ind w:firstLine="200" w:firstLineChars="200"/>
    </w:pPr>
    <w:rPr>
      <w:rFonts w:ascii="Tahoma" w:hAnsi="Tahoma"/>
      <w:sz w:val="24"/>
    </w:rPr>
  </w:style>
  <w:style w:type="paragraph" w:customStyle="1" w:styleId="253">
    <w:name w:val="p0"/>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54">
    <w:name w:val="g11"/>
    <w:basedOn w:val="1"/>
    <w:uiPriority w:val="0"/>
    <w:pPr>
      <w:widowControl/>
      <w:spacing w:before="100" w:beforeLines="0" w:beforeAutospacing="1" w:after="100" w:afterLines="0" w:afterAutospacing="1" w:line="465" w:lineRule="atLeast"/>
      <w:jc w:val="left"/>
    </w:pPr>
    <w:rPr>
      <w:rFonts w:ascii="华文中宋" w:hAnsi="华文中宋" w:eastAsia="华文中宋" w:cs="宋体"/>
      <w:b/>
      <w:bCs/>
      <w:color w:val="FF0000"/>
      <w:kern w:val="0"/>
      <w:sz w:val="31"/>
      <w:szCs w:val="31"/>
    </w:rPr>
  </w:style>
  <w:style w:type="paragraph" w:customStyle="1" w:styleId="255">
    <w:name w:val=" Char"/>
    <w:basedOn w:val="1"/>
    <w:uiPriority w:val="0"/>
    <w:pPr>
      <w:spacing w:before="156" w:beforeLines="50" w:after="156" w:afterLines="50"/>
      <w:ind w:firstLine="200" w:firstLineChars="200"/>
    </w:pPr>
    <w:rPr>
      <w:rFonts w:ascii="宋体" w:hAnsi="宋体" w:cs="Courier New"/>
      <w:spacing w:val="-2"/>
      <w:sz w:val="22"/>
      <w:szCs w:val="32"/>
    </w:rPr>
  </w:style>
  <w:style w:type="paragraph" w:customStyle="1" w:styleId="256">
    <w:name w:val="pa-34"/>
    <w:basedOn w:val="1"/>
    <w:uiPriority w:val="0"/>
    <w:pPr>
      <w:widowControl/>
      <w:spacing w:line="360" w:lineRule="atLeast"/>
      <w:ind w:firstLine="420"/>
      <w:jc w:val="left"/>
    </w:pPr>
    <w:rPr>
      <w:rFonts w:ascii="宋体" w:hAnsi="宋体" w:cs="宋体"/>
      <w:kern w:val="0"/>
      <w:sz w:val="24"/>
    </w:rPr>
  </w:style>
  <w:style w:type="paragraph" w:customStyle="1" w:styleId="257">
    <w:name w:val="样式 标题 1 + 黑体 三号 非加粗 居中 段前: 6 磅 段后: 6 磅 行距: 固定值 20 磅"/>
    <w:basedOn w:val="5"/>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258">
    <w:name w:val="表格文字"/>
    <w:basedOn w:val="1"/>
    <w:uiPriority w:val="0"/>
    <w:pPr>
      <w:adjustRightInd w:val="0"/>
      <w:spacing w:line="420" w:lineRule="atLeast"/>
      <w:jc w:val="left"/>
      <w:textAlignment w:val="baseline"/>
    </w:pPr>
    <w:rPr>
      <w:kern w:val="0"/>
      <w:szCs w:val="20"/>
    </w:rPr>
  </w:style>
  <w:style w:type="paragraph" w:customStyle="1" w:styleId="259">
    <w:name w:val="正  文"/>
    <w:basedOn w:val="1"/>
    <w:uiPriority w:val="0"/>
    <w:pPr>
      <w:spacing w:line="360" w:lineRule="auto"/>
      <w:ind w:firstLine="200" w:firstLineChars="200"/>
    </w:pPr>
    <w:rPr>
      <w:rFonts w:ascii="宋体"/>
      <w:sz w:val="24"/>
    </w:rPr>
  </w:style>
  <w:style w:type="paragraph" w:customStyle="1" w:styleId="260">
    <w:name w:val="正文 New New New"/>
    <w:uiPriority w:val="0"/>
    <w:pPr>
      <w:widowControl w:val="0"/>
      <w:jc w:val="both"/>
    </w:pPr>
    <w:rPr>
      <w:rFonts w:ascii="Times New Roman" w:hAnsi="Times New Roman" w:eastAsia="方正仿宋_GBK" w:cs="Times New Roman"/>
      <w:kern w:val="2"/>
      <w:sz w:val="21"/>
      <w:lang w:val="en-US" w:eastAsia="zh-CN" w:bidi="ar-SA"/>
    </w:rPr>
  </w:style>
  <w:style w:type="paragraph" w:customStyle="1" w:styleId="261">
    <w:name w:val="List Paragraph1"/>
    <w:basedOn w:val="1"/>
    <w:qFormat/>
    <w:uiPriority w:val="99"/>
    <w:pPr>
      <w:ind w:firstLine="420" w:firstLineChars="200"/>
    </w:pPr>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41809</Words>
  <Characters>44220</Characters>
  <Lines>600</Lines>
  <Paragraphs>168</Paragraphs>
  <TotalTime>0</TotalTime>
  <ScaleCrop>false</ScaleCrop>
  <LinksUpToDate>false</LinksUpToDate>
  <CharactersWithSpaces>48873</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2018-05-23T06:25:00Z</dcterms:created>
  <dc:creator>中金招标</dc:creator>
  <cp:lastModifiedBy>Mark</cp:lastModifiedBy>
  <cp:lastPrinted>2020-07-23T02:17:00Z</cp:lastPrinted>
  <dcterms:modified xsi:type="dcterms:W3CDTF">2022-07-08T08:00:46Z</dcterms:modified>
  <dc:title>铜梁县东城中学迁建工程2、3号（教学楼）</dc:title>
  <cp:revision>2243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096620AE887D4CCA8CEEF0331419A4F0</vt:lpwstr>
  </property>
</Properties>
</file>