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b/>
        </w:rPr>
      </w:pPr>
      <w:bookmarkStart w:id="0" w:name="_Toc16181"/>
      <w:bookmarkStart w:id="1" w:name="_Toc16386"/>
    </w:p>
    <w:p>
      <w:pPr>
        <w:jc w:val="center"/>
        <w:rPr>
          <w:rFonts w:ascii="宋体" w:hAnsi="宋体" w:cs="宋体"/>
          <w:b/>
          <w:bCs/>
          <w:spacing w:val="80"/>
          <w:sz w:val="112"/>
          <w:szCs w:val="112"/>
        </w:rPr>
      </w:pPr>
    </w:p>
    <w:p>
      <w:pPr>
        <w:jc w:val="center"/>
        <w:rPr>
          <w:rFonts w:ascii="宋体" w:hAnsi="宋体" w:cs="宋体"/>
          <w:b/>
          <w:spacing w:val="80"/>
          <w:sz w:val="112"/>
        </w:rPr>
      </w:pPr>
      <w:r>
        <w:rPr>
          <w:rFonts w:hint="eastAsia" w:ascii="宋体" w:hAnsi="宋体" w:cs="宋体"/>
          <w:b/>
          <w:bCs/>
          <w:spacing w:val="80"/>
          <w:sz w:val="112"/>
          <w:szCs w:val="112"/>
        </w:rPr>
        <w:t>竞争性磋商文件</w:t>
      </w:r>
    </w:p>
    <w:p>
      <w:pPr>
        <w:spacing w:line="700" w:lineRule="auto"/>
        <w:jc w:val="center"/>
        <w:rPr>
          <w:rFonts w:ascii="宋体" w:hAnsi="宋体" w:cs="宋体"/>
          <w:b/>
          <w:sz w:val="32"/>
        </w:rPr>
      </w:pPr>
    </w:p>
    <w:p>
      <w:pPr>
        <w:rPr>
          <w:rFonts w:ascii="仿宋_GB2312" w:hAnsi="仿宋_GB2312" w:eastAsia="仿宋_GB2312" w:cs="仿宋_GB2312"/>
          <w:sz w:val="32"/>
        </w:rPr>
      </w:pPr>
    </w:p>
    <w:p>
      <w:pPr>
        <w:pStyle w:val="29"/>
        <w:ind w:left="1680"/>
        <w:rPr>
          <w:rFonts w:eastAsiaTheme="minorEastAsia"/>
          <w:highlight w:val="none"/>
          <w:lang w:eastAsia="zh-CN"/>
        </w:rPr>
      </w:pPr>
    </w:p>
    <w:p>
      <w:pPr>
        <w:spacing w:line="800" w:lineRule="exact"/>
        <w:ind w:firstLine="2168" w:firstLineChars="600"/>
        <w:rPr>
          <w:rFonts w:ascii="宋体" w:hAnsi="宋体" w:cs="宋体"/>
          <w:b/>
          <w:sz w:val="36"/>
          <w:highlight w:val="none"/>
        </w:rPr>
      </w:pPr>
    </w:p>
    <w:p>
      <w:pPr>
        <w:spacing w:line="800" w:lineRule="exact"/>
        <w:ind w:left="0" w:leftChars="0" w:firstLine="1084" w:firstLineChars="300"/>
        <w:rPr>
          <w:rFonts w:hint="default" w:ascii="宋体" w:hAnsi="宋体" w:eastAsia="宋体" w:cs="宋体"/>
          <w:b/>
          <w:sz w:val="36"/>
          <w:highlight w:val="none"/>
          <w:lang w:val="en-US" w:eastAsia="zh-CN"/>
        </w:rPr>
      </w:pPr>
      <w:r>
        <w:rPr>
          <w:rFonts w:ascii="宋体" w:hAnsi="宋体" w:cs="宋体"/>
          <w:b/>
          <w:sz w:val="36"/>
          <w:highlight w:val="none"/>
        </w:rPr>
        <w:t>磋商项目编号：</w:t>
      </w:r>
      <w:r>
        <w:rPr>
          <w:rFonts w:hint="eastAsia" w:ascii="宋体" w:hAnsi="宋体" w:cs="宋体"/>
          <w:b/>
          <w:sz w:val="36"/>
          <w:highlight w:val="none"/>
          <w:lang w:val="en-US" w:eastAsia="zh-CN"/>
        </w:rPr>
        <w:t>WL-20220037</w:t>
      </w:r>
    </w:p>
    <w:p>
      <w:pPr>
        <w:spacing w:line="800" w:lineRule="exact"/>
        <w:ind w:left="3605" w:leftChars="384" w:hanging="2530" w:hangingChars="700"/>
        <w:rPr>
          <w:rFonts w:ascii="宋体" w:hAnsi="宋体" w:cs="宋体"/>
          <w:sz w:val="36"/>
        </w:rPr>
      </w:pPr>
      <w:r>
        <w:rPr>
          <w:rFonts w:ascii="宋体" w:hAnsi="宋体" w:cs="宋体"/>
          <w:b/>
          <w:sz w:val="36"/>
        </w:rPr>
        <w:t>磋商项目名称</w:t>
      </w:r>
      <w:r>
        <w:rPr>
          <w:rFonts w:hint="eastAsia" w:ascii="宋体" w:hAnsi="宋体" w:cs="宋体"/>
          <w:b/>
          <w:sz w:val="36"/>
        </w:rPr>
        <w:t>：</w:t>
      </w:r>
      <w:r>
        <w:rPr>
          <w:rFonts w:hint="eastAsia" w:ascii="宋体" w:hAnsi="宋体" w:eastAsia="宋体" w:cs="宋体"/>
          <w:b/>
          <w:sz w:val="36"/>
          <w:szCs w:val="22"/>
          <w:lang w:val="en-US" w:eastAsia="zh-CN"/>
        </w:rPr>
        <w:t>2022年安居古城端午龙舟会活动</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pStyle w:val="29"/>
        <w:ind w:left="1680"/>
      </w:pPr>
    </w:p>
    <w:p>
      <w:pPr>
        <w:pStyle w:val="29"/>
        <w:ind w:left="0" w:leftChars="0"/>
        <w:rPr>
          <w:rFonts w:eastAsiaTheme="minorEastAsia"/>
          <w:lang w:eastAsia="zh-CN"/>
        </w:rPr>
      </w:pPr>
    </w:p>
    <w:p>
      <w:pPr>
        <w:spacing w:line="800" w:lineRule="exact"/>
        <w:ind w:firstLine="964" w:firstLineChars="300"/>
        <w:rPr>
          <w:rFonts w:ascii="宋体" w:hAnsi="宋体" w:cs="宋体"/>
          <w:b/>
          <w:sz w:val="32"/>
          <w:szCs w:val="32"/>
        </w:rPr>
      </w:pPr>
      <w:r>
        <w:rPr>
          <w:rFonts w:ascii="宋体" w:hAnsi="宋体" w:cs="宋体"/>
          <w:b/>
          <w:sz w:val="32"/>
          <w:szCs w:val="32"/>
        </w:rPr>
        <w:t>采</w:t>
      </w:r>
      <w:r>
        <w:rPr>
          <w:rFonts w:hint="eastAsia" w:ascii="宋体" w:hAnsi="宋体" w:cs="宋体"/>
          <w:b/>
          <w:sz w:val="32"/>
          <w:szCs w:val="32"/>
        </w:rPr>
        <w:t xml:space="preserve">   </w:t>
      </w:r>
      <w:r>
        <w:rPr>
          <w:rFonts w:ascii="宋体" w:hAnsi="宋体" w:cs="宋体"/>
          <w:b/>
          <w:sz w:val="32"/>
          <w:szCs w:val="32"/>
        </w:rPr>
        <w:t>购</w:t>
      </w:r>
      <w:r>
        <w:rPr>
          <w:rFonts w:hint="eastAsia" w:ascii="宋体" w:hAnsi="宋体" w:cs="宋体"/>
          <w:b/>
          <w:sz w:val="32"/>
          <w:szCs w:val="32"/>
        </w:rPr>
        <w:t xml:space="preserve">   </w:t>
      </w:r>
      <w:r>
        <w:rPr>
          <w:rFonts w:ascii="宋体" w:hAnsi="宋体" w:cs="宋体"/>
          <w:b/>
          <w:sz w:val="32"/>
          <w:szCs w:val="32"/>
        </w:rPr>
        <w:t>人：</w:t>
      </w:r>
      <w:r>
        <w:rPr>
          <w:rFonts w:hint="eastAsia" w:ascii="宋体" w:hAnsi="宋体" w:eastAsia="宋体" w:cs="宋体"/>
          <w:b/>
          <w:sz w:val="32"/>
          <w:szCs w:val="32"/>
          <w:lang w:val="en-US" w:eastAsia="zh-CN"/>
        </w:rPr>
        <w:t>重庆市安居古城迎龙游乐有限公司</w:t>
      </w:r>
    </w:p>
    <w:p>
      <w:pPr>
        <w:spacing w:line="800" w:lineRule="exact"/>
        <w:ind w:firstLine="964" w:firstLineChars="300"/>
        <w:rPr>
          <w:rFonts w:hint="eastAsia" w:ascii="宋体" w:hAnsi="宋体" w:eastAsia="宋体" w:cs="宋体"/>
          <w:b/>
          <w:sz w:val="32"/>
          <w:szCs w:val="32"/>
          <w:lang w:val="en-US" w:eastAsia="zh-CN"/>
        </w:rPr>
      </w:pPr>
      <w:r>
        <w:rPr>
          <w:rFonts w:ascii="宋体" w:hAnsi="宋体" w:cs="宋体"/>
          <w:b/>
          <w:sz w:val="32"/>
          <w:szCs w:val="32"/>
        </w:rPr>
        <w:t>采购代理机构：</w:t>
      </w:r>
      <w:r>
        <w:rPr>
          <w:rFonts w:hint="eastAsia" w:ascii="宋体" w:hAnsi="宋体" w:eastAsia="宋体" w:cs="宋体"/>
          <w:b/>
          <w:sz w:val="32"/>
          <w:szCs w:val="32"/>
          <w:lang w:val="en-US" w:eastAsia="zh-CN"/>
        </w:rPr>
        <w:t>万隆建设工程咨询集团有限公司</w:t>
      </w:r>
    </w:p>
    <w:p>
      <w:pPr>
        <w:spacing w:line="800" w:lineRule="exact"/>
        <w:jc w:val="center"/>
      </w:pPr>
      <w:r>
        <w:rPr>
          <w:rFonts w:ascii="宋体" w:hAnsi="宋体" w:cs="宋体"/>
          <w:b/>
          <w:spacing w:val="10"/>
          <w:sz w:val="32"/>
          <w:szCs w:val="32"/>
        </w:rPr>
        <w:t>二〇二</w:t>
      </w:r>
      <w:r>
        <w:rPr>
          <w:rFonts w:hint="eastAsia" w:ascii="宋体" w:hAnsi="宋体" w:cs="宋体"/>
          <w:b/>
          <w:spacing w:val="10"/>
          <w:sz w:val="32"/>
          <w:szCs w:val="32"/>
        </w:rPr>
        <w:t>二</w:t>
      </w:r>
      <w:r>
        <w:rPr>
          <w:rFonts w:ascii="宋体" w:hAnsi="宋体" w:cs="宋体"/>
          <w:b/>
          <w:spacing w:val="10"/>
          <w:sz w:val="32"/>
          <w:szCs w:val="32"/>
        </w:rPr>
        <w:t>年</w:t>
      </w:r>
      <w:r>
        <w:rPr>
          <w:rFonts w:hint="eastAsia" w:ascii="宋体" w:hAnsi="宋体" w:cs="宋体"/>
          <w:b/>
          <w:spacing w:val="10"/>
          <w:sz w:val="32"/>
          <w:szCs w:val="32"/>
          <w:lang w:val="en-US" w:eastAsia="zh-CN"/>
        </w:rPr>
        <w:t>五</w:t>
      </w:r>
      <w:r>
        <w:rPr>
          <w:rFonts w:ascii="宋体" w:hAnsi="宋体" w:cs="宋体"/>
          <w:b/>
          <w:spacing w:val="10"/>
          <w:sz w:val="32"/>
          <w:szCs w:val="32"/>
        </w:rPr>
        <w:t>月</w:t>
      </w:r>
    </w:p>
    <w:sdt>
      <w:sdtPr>
        <w:rPr>
          <w:rFonts w:ascii="宋体" w:hAnsi="宋体"/>
          <w:szCs w:val="28"/>
        </w:rPr>
        <w:id w:val="147481469"/>
      </w:sdtPr>
      <w:sdtEndPr>
        <w:rPr>
          <w:rFonts w:ascii="宋体" w:hAnsi="宋体" w:cs="宋体"/>
          <w:b/>
          <w:szCs w:val="28"/>
        </w:rPr>
      </w:sdtEndPr>
      <w:sdtContent>
        <w:p>
          <w:pPr>
            <w:jc w:val="center"/>
            <w:rPr>
              <w:rFonts w:ascii="宋体" w:hAnsi="宋体"/>
              <w:szCs w:val="28"/>
            </w:rPr>
          </w:pPr>
        </w:p>
        <w:p>
          <w:pPr>
            <w:pStyle w:val="58"/>
            <w:jc w:val="center"/>
            <w:rPr>
              <w:rFonts w:ascii="宋体" w:hAnsi="宋体"/>
              <w:b/>
              <w:sz w:val="36"/>
              <w:szCs w:val="36"/>
            </w:rPr>
          </w:pPr>
        </w:p>
        <w:p>
          <w:pPr>
            <w:jc w:val="center"/>
            <w:rPr>
              <w:b/>
              <w:sz w:val="36"/>
              <w:szCs w:val="36"/>
            </w:rPr>
          </w:pPr>
          <w:r>
            <w:rPr>
              <w:rFonts w:ascii="宋体" w:hAnsi="宋体"/>
              <w:b/>
              <w:sz w:val="36"/>
              <w:szCs w:val="36"/>
            </w:rPr>
            <w:t>目</w:t>
          </w:r>
          <w:r>
            <w:rPr>
              <w:rFonts w:hint="eastAsia" w:ascii="宋体" w:hAnsi="宋体"/>
              <w:b/>
              <w:sz w:val="36"/>
              <w:szCs w:val="36"/>
            </w:rPr>
            <w:t xml:space="preserve">   </w:t>
          </w:r>
          <w:r>
            <w:rPr>
              <w:rFonts w:ascii="宋体" w:hAnsi="宋体"/>
              <w:b/>
              <w:sz w:val="36"/>
              <w:szCs w:val="36"/>
            </w:rPr>
            <w:t>录</w:t>
          </w:r>
        </w:p>
        <w:p>
          <w:pPr>
            <w:pStyle w:val="39"/>
            <w:tabs>
              <w:tab w:val="right" w:leader="dot" w:pos="9412"/>
            </w:tabs>
          </w:pPr>
          <w:r>
            <w:rPr>
              <w:rFonts w:ascii="宋体" w:hAnsi="宋体" w:cs="宋体"/>
              <w:sz w:val="28"/>
              <w:szCs w:val="28"/>
            </w:rPr>
            <w:fldChar w:fldCharType="begin"/>
          </w:r>
          <w:r>
            <w:rPr>
              <w:rFonts w:ascii="宋体" w:hAnsi="宋体" w:cs="宋体"/>
              <w:sz w:val="28"/>
              <w:szCs w:val="28"/>
            </w:rPr>
            <w:instrText xml:space="preserve">TOC \o "1-2" \h \u </w:instrText>
          </w:r>
          <w:r>
            <w:rPr>
              <w:rFonts w:ascii="宋体" w:hAnsi="宋体" w:cs="宋体"/>
              <w:sz w:val="28"/>
              <w:szCs w:val="28"/>
            </w:rPr>
            <w:fldChar w:fldCharType="separate"/>
          </w:r>
          <w:r>
            <w:fldChar w:fldCharType="begin"/>
          </w:r>
          <w:r>
            <w:instrText xml:space="preserve"> HYPERLINK \l "_Toc9824" </w:instrText>
          </w:r>
          <w:r>
            <w:fldChar w:fldCharType="separate"/>
          </w:r>
          <w:r>
            <w:rPr>
              <w:rFonts w:ascii="宋体" w:hAnsi="宋体" w:cs="宋体"/>
            </w:rPr>
            <w:t>第一篇采购邀请书</w:t>
          </w:r>
          <w:r>
            <w:tab/>
          </w:r>
          <w:r>
            <w:fldChar w:fldCharType="begin"/>
          </w:r>
          <w:r>
            <w:instrText xml:space="preserve"> PAGEREF _Toc9824 \h </w:instrText>
          </w:r>
          <w:r>
            <w:fldChar w:fldCharType="separate"/>
          </w:r>
          <w:r>
            <w:t>- 3 -</w:t>
          </w:r>
          <w:r>
            <w:fldChar w:fldCharType="end"/>
          </w:r>
          <w:r>
            <w:fldChar w:fldCharType="end"/>
          </w:r>
        </w:p>
        <w:p>
          <w:pPr>
            <w:pStyle w:val="48"/>
            <w:tabs>
              <w:tab w:val="right" w:leader="dot" w:pos="9412"/>
            </w:tabs>
            <w:ind w:left="560"/>
          </w:pPr>
          <w:r>
            <w:fldChar w:fldCharType="begin"/>
          </w:r>
          <w:r>
            <w:instrText xml:space="preserve"> HYPERLINK \l "_Toc18247" </w:instrText>
          </w:r>
          <w:r>
            <w:fldChar w:fldCharType="separate"/>
          </w:r>
          <w:r>
            <w:rPr>
              <w:rFonts w:ascii="宋体" w:hAnsi="宋体" w:cs="宋体"/>
            </w:rPr>
            <w:t>一、竞争性磋商内容</w:t>
          </w:r>
          <w:r>
            <w:tab/>
          </w:r>
          <w:r>
            <w:fldChar w:fldCharType="begin"/>
          </w:r>
          <w:r>
            <w:instrText xml:space="preserve"> PAGEREF _Toc18247 \h </w:instrText>
          </w:r>
          <w:r>
            <w:fldChar w:fldCharType="separate"/>
          </w:r>
          <w:r>
            <w:t>- 3 -</w:t>
          </w:r>
          <w:r>
            <w:fldChar w:fldCharType="end"/>
          </w:r>
          <w:r>
            <w:fldChar w:fldCharType="end"/>
          </w:r>
        </w:p>
        <w:p>
          <w:pPr>
            <w:pStyle w:val="48"/>
            <w:tabs>
              <w:tab w:val="right" w:leader="dot" w:pos="9412"/>
            </w:tabs>
            <w:ind w:left="560"/>
          </w:pPr>
          <w:r>
            <w:fldChar w:fldCharType="begin"/>
          </w:r>
          <w:r>
            <w:instrText xml:space="preserve"> HYPERLINK \l "_Toc15430" </w:instrText>
          </w:r>
          <w:r>
            <w:fldChar w:fldCharType="separate"/>
          </w:r>
          <w:r>
            <w:rPr>
              <w:rFonts w:ascii="宋体" w:hAnsi="宋体" w:cs="宋体"/>
            </w:rPr>
            <w:t>二、资金来源</w:t>
          </w:r>
          <w:r>
            <w:tab/>
          </w:r>
          <w:r>
            <w:fldChar w:fldCharType="begin"/>
          </w:r>
          <w:r>
            <w:instrText xml:space="preserve"> PAGEREF _Toc15430 \h </w:instrText>
          </w:r>
          <w:r>
            <w:fldChar w:fldCharType="separate"/>
          </w:r>
          <w:r>
            <w:t>- 3 -</w:t>
          </w:r>
          <w:r>
            <w:fldChar w:fldCharType="end"/>
          </w:r>
          <w:r>
            <w:fldChar w:fldCharType="end"/>
          </w:r>
        </w:p>
        <w:p>
          <w:pPr>
            <w:pStyle w:val="48"/>
            <w:tabs>
              <w:tab w:val="right" w:leader="dot" w:pos="9412"/>
            </w:tabs>
            <w:ind w:left="560"/>
          </w:pPr>
          <w:r>
            <w:fldChar w:fldCharType="begin"/>
          </w:r>
          <w:r>
            <w:instrText xml:space="preserve"> HYPERLINK \l "_Toc30496" </w:instrText>
          </w:r>
          <w:r>
            <w:fldChar w:fldCharType="separate"/>
          </w:r>
          <w:r>
            <w:rPr>
              <w:rFonts w:ascii="宋体" w:hAnsi="宋体" w:cs="宋体"/>
            </w:rPr>
            <w:t>三、供应商资格条件</w:t>
          </w:r>
          <w:r>
            <w:tab/>
          </w:r>
          <w:r>
            <w:fldChar w:fldCharType="begin"/>
          </w:r>
          <w:r>
            <w:instrText xml:space="preserve"> PAGEREF _Toc30496 \h </w:instrText>
          </w:r>
          <w:r>
            <w:fldChar w:fldCharType="separate"/>
          </w:r>
          <w:r>
            <w:t>- 3 -</w:t>
          </w:r>
          <w:r>
            <w:fldChar w:fldCharType="end"/>
          </w:r>
          <w:r>
            <w:fldChar w:fldCharType="end"/>
          </w:r>
        </w:p>
        <w:p>
          <w:pPr>
            <w:pStyle w:val="48"/>
            <w:tabs>
              <w:tab w:val="right" w:leader="dot" w:pos="9412"/>
            </w:tabs>
            <w:ind w:left="560"/>
          </w:pPr>
          <w:r>
            <w:fldChar w:fldCharType="begin"/>
          </w:r>
          <w:r>
            <w:instrText xml:space="preserve"> HYPERLINK \l "_Toc22081" </w:instrText>
          </w:r>
          <w:r>
            <w:fldChar w:fldCharType="separate"/>
          </w:r>
          <w:r>
            <w:rPr>
              <w:rFonts w:ascii="宋体" w:hAnsi="宋体" w:cs="宋体"/>
            </w:rPr>
            <w:t>四、磋商有关说明</w:t>
          </w:r>
          <w:r>
            <w:tab/>
          </w:r>
          <w:r>
            <w:fldChar w:fldCharType="begin"/>
          </w:r>
          <w:r>
            <w:instrText xml:space="preserve"> PAGEREF _Toc22081 \h </w:instrText>
          </w:r>
          <w:r>
            <w:fldChar w:fldCharType="separate"/>
          </w:r>
          <w:r>
            <w:t>- 3 -</w:t>
          </w:r>
          <w:r>
            <w:fldChar w:fldCharType="end"/>
          </w:r>
          <w:r>
            <w:fldChar w:fldCharType="end"/>
          </w:r>
        </w:p>
        <w:p>
          <w:pPr>
            <w:pStyle w:val="48"/>
            <w:tabs>
              <w:tab w:val="right" w:leader="dot" w:pos="9412"/>
            </w:tabs>
            <w:ind w:left="560"/>
          </w:pPr>
          <w:r>
            <w:fldChar w:fldCharType="begin"/>
          </w:r>
          <w:r>
            <w:instrText xml:space="preserve"> HYPERLINK \l "_Toc12864" </w:instrText>
          </w:r>
          <w:r>
            <w:fldChar w:fldCharType="separate"/>
          </w:r>
          <w:r>
            <w:rPr>
              <w:rFonts w:ascii="宋体" w:hAnsi="宋体" w:cs="宋体"/>
            </w:rPr>
            <w:t>五、磋商保证金</w:t>
          </w:r>
          <w:r>
            <w:tab/>
          </w:r>
          <w:r>
            <w:fldChar w:fldCharType="begin"/>
          </w:r>
          <w:r>
            <w:instrText xml:space="preserve"> PAGEREF _Toc12864 \h </w:instrText>
          </w:r>
          <w:r>
            <w:fldChar w:fldCharType="separate"/>
          </w:r>
          <w:r>
            <w:t>- 4 -</w:t>
          </w:r>
          <w:r>
            <w:fldChar w:fldCharType="end"/>
          </w:r>
          <w:r>
            <w:fldChar w:fldCharType="end"/>
          </w:r>
        </w:p>
        <w:p>
          <w:pPr>
            <w:pStyle w:val="48"/>
            <w:tabs>
              <w:tab w:val="right" w:leader="dot" w:pos="9412"/>
            </w:tabs>
            <w:ind w:left="560"/>
          </w:pPr>
          <w:r>
            <w:fldChar w:fldCharType="begin"/>
          </w:r>
          <w:r>
            <w:instrText xml:space="preserve"> HYPERLINK \l "_Toc30927" </w:instrText>
          </w:r>
          <w:r>
            <w:fldChar w:fldCharType="separate"/>
          </w:r>
          <w:r>
            <w:rPr>
              <w:rFonts w:ascii="宋体" w:hAnsi="宋体" w:cs="宋体"/>
            </w:rPr>
            <w:t>六、采购项目需落实的政府采购政策</w:t>
          </w:r>
          <w:r>
            <w:tab/>
          </w:r>
          <w:r>
            <w:fldChar w:fldCharType="begin"/>
          </w:r>
          <w:r>
            <w:instrText xml:space="preserve"> PAGEREF _Toc30927 \h </w:instrText>
          </w:r>
          <w:r>
            <w:fldChar w:fldCharType="separate"/>
          </w:r>
          <w:r>
            <w:t>- 4 -</w:t>
          </w:r>
          <w:r>
            <w:fldChar w:fldCharType="end"/>
          </w:r>
          <w:r>
            <w:fldChar w:fldCharType="end"/>
          </w:r>
        </w:p>
        <w:p>
          <w:pPr>
            <w:pStyle w:val="48"/>
            <w:tabs>
              <w:tab w:val="right" w:leader="dot" w:pos="9412"/>
            </w:tabs>
            <w:ind w:left="560"/>
          </w:pPr>
          <w:r>
            <w:fldChar w:fldCharType="begin"/>
          </w:r>
          <w:r>
            <w:instrText xml:space="preserve"> HYPERLINK \l "_Toc370" </w:instrText>
          </w:r>
          <w:r>
            <w:fldChar w:fldCharType="separate"/>
          </w:r>
          <w:r>
            <w:rPr>
              <w:rFonts w:ascii="宋体" w:hAnsi="宋体" w:cs="宋体"/>
            </w:rPr>
            <w:t>七、其它有关规定</w:t>
          </w:r>
          <w:r>
            <w:tab/>
          </w:r>
          <w:r>
            <w:fldChar w:fldCharType="begin"/>
          </w:r>
          <w:r>
            <w:instrText xml:space="preserve"> PAGEREF _Toc370 \h </w:instrText>
          </w:r>
          <w:r>
            <w:fldChar w:fldCharType="separate"/>
          </w:r>
          <w:r>
            <w:t>- 5 -</w:t>
          </w:r>
          <w:r>
            <w:fldChar w:fldCharType="end"/>
          </w:r>
          <w:r>
            <w:fldChar w:fldCharType="end"/>
          </w:r>
        </w:p>
        <w:p>
          <w:pPr>
            <w:pStyle w:val="48"/>
            <w:tabs>
              <w:tab w:val="right" w:leader="dot" w:pos="9412"/>
            </w:tabs>
            <w:ind w:left="560"/>
          </w:pPr>
          <w:r>
            <w:fldChar w:fldCharType="begin"/>
          </w:r>
          <w:r>
            <w:instrText xml:space="preserve"> HYPERLINK \l "_Toc20165" </w:instrText>
          </w:r>
          <w:r>
            <w:fldChar w:fldCharType="separate"/>
          </w:r>
          <w:r>
            <w:rPr>
              <w:rFonts w:ascii="宋体" w:hAnsi="宋体" w:cs="宋体"/>
            </w:rPr>
            <w:t>八、联系方式</w:t>
          </w:r>
          <w:r>
            <w:tab/>
          </w:r>
          <w:r>
            <w:fldChar w:fldCharType="begin"/>
          </w:r>
          <w:r>
            <w:instrText xml:space="preserve"> PAGEREF _Toc20165 \h </w:instrText>
          </w:r>
          <w:r>
            <w:fldChar w:fldCharType="separate"/>
          </w:r>
          <w:r>
            <w:t>- 5 -</w:t>
          </w:r>
          <w:r>
            <w:fldChar w:fldCharType="end"/>
          </w:r>
          <w:r>
            <w:fldChar w:fldCharType="end"/>
          </w:r>
        </w:p>
        <w:p>
          <w:pPr>
            <w:pStyle w:val="39"/>
            <w:tabs>
              <w:tab w:val="right" w:leader="dot" w:pos="9412"/>
            </w:tabs>
          </w:pPr>
          <w:r>
            <w:fldChar w:fldCharType="begin"/>
          </w:r>
          <w:r>
            <w:instrText xml:space="preserve"> HYPERLINK \l "_Toc31880" </w:instrText>
          </w:r>
          <w:r>
            <w:fldChar w:fldCharType="separate"/>
          </w:r>
          <w:r>
            <w:rPr>
              <w:rFonts w:ascii="宋体" w:hAnsi="宋体" w:cs="宋体"/>
            </w:rPr>
            <w:t>第二篇项目服务需求</w:t>
          </w:r>
          <w:r>
            <w:tab/>
          </w:r>
          <w:r>
            <w:fldChar w:fldCharType="begin"/>
          </w:r>
          <w:r>
            <w:instrText xml:space="preserve"> PAGEREF _Toc31880 \h </w:instrText>
          </w:r>
          <w:r>
            <w:fldChar w:fldCharType="separate"/>
          </w:r>
          <w:r>
            <w:t>- 6 -</w:t>
          </w:r>
          <w:r>
            <w:fldChar w:fldCharType="end"/>
          </w:r>
          <w:r>
            <w:fldChar w:fldCharType="end"/>
          </w:r>
        </w:p>
        <w:p>
          <w:pPr>
            <w:pStyle w:val="48"/>
            <w:tabs>
              <w:tab w:val="right" w:leader="dot" w:pos="9412"/>
            </w:tabs>
            <w:ind w:left="560"/>
          </w:pPr>
          <w:r>
            <w:fldChar w:fldCharType="begin"/>
          </w:r>
          <w:r>
            <w:instrText xml:space="preserve"> HYPERLINK \l "_Toc4029" </w:instrText>
          </w:r>
          <w:r>
            <w:fldChar w:fldCharType="separate"/>
          </w:r>
          <w:r>
            <w:rPr>
              <w:rFonts w:hint="eastAsia" w:ascii="宋体" w:hAnsi="宋体" w:cs="宋体"/>
              <w:kern w:val="0"/>
              <w:szCs w:val="21"/>
            </w:rPr>
            <w:t>※</w:t>
          </w:r>
          <w:r>
            <w:rPr>
              <w:rFonts w:hint="eastAsia" w:ascii="宋体" w:hAnsi="宋体" w:cs="宋体"/>
            </w:rPr>
            <w:t>一、项目概况</w:t>
          </w:r>
          <w:r>
            <w:tab/>
          </w:r>
          <w:r>
            <w:fldChar w:fldCharType="begin"/>
          </w:r>
          <w:r>
            <w:instrText xml:space="preserve"> PAGEREF _Toc4029 \h </w:instrText>
          </w:r>
          <w:r>
            <w:fldChar w:fldCharType="separate"/>
          </w:r>
          <w:r>
            <w:t>- 6 -</w:t>
          </w:r>
          <w:r>
            <w:fldChar w:fldCharType="end"/>
          </w:r>
          <w:r>
            <w:fldChar w:fldCharType="end"/>
          </w:r>
        </w:p>
        <w:p>
          <w:pPr>
            <w:pStyle w:val="39"/>
            <w:tabs>
              <w:tab w:val="right" w:leader="dot" w:pos="9412"/>
            </w:tabs>
          </w:pPr>
          <w:r>
            <w:fldChar w:fldCharType="begin"/>
          </w:r>
          <w:r>
            <w:instrText xml:space="preserve"> HYPERLINK \l "_Toc10135" </w:instrText>
          </w:r>
          <w:r>
            <w:fldChar w:fldCharType="separate"/>
          </w:r>
          <w:r>
            <w:rPr>
              <w:rFonts w:ascii="宋体" w:hAnsi="宋体" w:cs="宋体"/>
            </w:rPr>
            <w:t>第三篇项目商务需求</w:t>
          </w:r>
          <w:r>
            <w:tab/>
          </w:r>
          <w:r>
            <w:fldChar w:fldCharType="begin"/>
          </w:r>
          <w:r>
            <w:instrText xml:space="preserve"> PAGEREF _Toc10135 \h </w:instrText>
          </w:r>
          <w:r>
            <w:fldChar w:fldCharType="separate"/>
          </w:r>
          <w:r>
            <w:t>- 7 -</w:t>
          </w:r>
          <w:r>
            <w:fldChar w:fldCharType="end"/>
          </w:r>
          <w:r>
            <w:fldChar w:fldCharType="end"/>
          </w:r>
        </w:p>
        <w:p>
          <w:pPr>
            <w:pStyle w:val="48"/>
            <w:tabs>
              <w:tab w:val="right" w:leader="dot" w:pos="9412"/>
            </w:tabs>
            <w:ind w:left="560"/>
          </w:pPr>
          <w:r>
            <w:fldChar w:fldCharType="begin"/>
          </w:r>
          <w:r>
            <w:instrText xml:space="preserve"> HYPERLINK \l "_Toc14030" </w:instrText>
          </w:r>
          <w:r>
            <w:fldChar w:fldCharType="separate"/>
          </w:r>
          <w:r>
            <w:rPr>
              <w:rFonts w:hint="eastAsia" w:ascii="宋体" w:hAnsi="宋体" w:cs="宋体"/>
            </w:rPr>
            <w:t>一、活动时间、活动地点及验收方式</w:t>
          </w:r>
          <w:r>
            <w:tab/>
          </w:r>
          <w:r>
            <w:fldChar w:fldCharType="begin"/>
          </w:r>
          <w:r>
            <w:instrText xml:space="preserve"> PAGEREF _Toc14030 \h </w:instrText>
          </w:r>
          <w:r>
            <w:fldChar w:fldCharType="separate"/>
          </w:r>
          <w:r>
            <w:t>- 7 -</w:t>
          </w:r>
          <w:r>
            <w:fldChar w:fldCharType="end"/>
          </w:r>
          <w:r>
            <w:fldChar w:fldCharType="end"/>
          </w:r>
        </w:p>
        <w:p>
          <w:pPr>
            <w:pStyle w:val="48"/>
            <w:tabs>
              <w:tab w:val="right" w:leader="dot" w:pos="9412"/>
            </w:tabs>
            <w:ind w:left="560"/>
          </w:pPr>
          <w:r>
            <w:fldChar w:fldCharType="begin"/>
          </w:r>
          <w:r>
            <w:instrText xml:space="preserve"> HYPERLINK \l "_Toc25417" </w:instrText>
          </w:r>
          <w:r>
            <w:fldChar w:fldCharType="separate"/>
          </w:r>
          <w:r>
            <w:rPr>
              <w:rFonts w:hint="eastAsia" w:ascii="宋体" w:hAnsi="宋体" w:cs="宋体"/>
            </w:rPr>
            <w:t>二、报价要求</w:t>
          </w:r>
          <w:r>
            <w:tab/>
          </w:r>
          <w:r>
            <w:fldChar w:fldCharType="begin"/>
          </w:r>
          <w:r>
            <w:instrText xml:space="preserve"> PAGEREF _Toc25417 \h </w:instrText>
          </w:r>
          <w:r>
            <w:fldChar w:fldCharType="separate"/>
          </w:r>
          <w:r>
            <w:t>- 7 -</w:t>
          </w:r>
          <w:r>
            <w:fldChar w:fldCharType="end"/>
          </w:r>
          <w:r>
            <w:fldChar w:fldCharType="end"/>
          </w:r>
        </w:p>
        <w:p>
          <w:pPr>
            <w:pStyle w:val="48"/>
            <w:tabs>
              <w:tab w:val="right" w:leader="dot" w:pos="9412"/>
            </w:tabs>
            <w:ind w:left="560"/>
          </w:pPr>
          <w:r>
            <w:fldChar w:fldCharType="begin"/>
          </w:r>
          <w:r>
            <w:instrText xml:space="preserve"> HYPERLINK \l "_Toc29731" </w:instrText>
          </w:r>
          <w:r>
            <w:fldChar w:fldCharType="separate"/>
          </w:r>
          <w:r>
            <w:rPr>
              <w:rFonts w:hint="eastAsia" w:ascii="宋体" w:hAnsi="宋体" w:cs="宋体"/>
            </w:rPr>
            <w:t>三、付款方式</w:t>
          </w:r>
          <w:r>
            <w:tab/>
          </w:r>
          <w:r>
            <w:fldChar w:fldCharType="begin"/>
          </w:r>
          <w:r>
            <w:instrText xml:space="preserve"> PAGEREF _Toc29731 \h </w:instrText>
          </w:r>
          <w:r>
            <w:fldChar w:fldCharType="separate"/>
          </w:r>
          <w:r>
            <w:t>- 7 -</w:t>
          </w:r>
          <w:r>
            <w:fldChar w:fldCharType="end"/>
          </w:r>
          <w:r>
            <w:fldChar w:fldCharType="end"/>
          </w:r>
        </w:p>
        <w:p>
          <w:pPr>
            <w:pStyle w:val="48"/>
            <w:tabs>
              <w:tab w:val="right" w:leader="dot" w:pos="9412"/>
            </w:tabs>
            <w:ind w:left="560"/>
          </w:pPr>
          <w:r>
            <w:fldChar w:fldCharType="begin"/>
          </w:r>
          <w:r>
            <w:instrText xml:space="preserve"> HYPERLINK \l "_Toc20642" </w:instrText>
          </w:r>
          <w:r>
            <w:fldChar w:fldCharType="separate"/>
          </w:r>
          <w:r>
            <w:rPr>
              <w:rFonts w:hint="eastAsia" w:ascii="宋体" w:hAnsi="宋体" w:cs="宋体"/>
            </w:rPr>
            <w:t>四、知识产权</w:t>
          </w:r>
          <w:r>
            <w:tab/>
          </w:r>
          <w:r>
            <w:fldChar w:fldCharType="begin"/>
          </w:r>
          <w:r>
            <w:instrText xml:space="preserve"> PAGEREF _Toc20642 \h </w:instrText>
          </w:r>
          <w:r>
            <w:fldChar w:fldCharType="separate"/>
          </w:r>
          <w:r>
            <w:t>- 7 -</w:t>
          </w:r>
          <w:r>
            <w:fldChar w:fldCharType="end"/>
          </w:r>
          <w:r>
            <w:fldChar w:fldCharType="end"/>
          </w:r>
        </w:p>
        <w:p>
          <w:pPr>
            <w:pStyle w:val="48"/>
            <w:tabs>
              <w:tab w:val="right" w:leader="dot" w:pos="9412"/>
            </w:tabs>
            <w:ind w:left="560"/>
          </w:pPr>
          <w:r>
            <w:fldChar w:fldCharType="begin"/>
          </w:r>
          <w:r>
            <w:instrText xml:space="preserve"> HYPERLINK \l "_Toc22574" </w:instrText>
          </w:r>
          <w:r>
            <w:fldChar w:fldCharType="separate"/>
          </w:r>
          <w:r>
            <w:rPr>
              <w:rFonts w:hint="eastAsia" w:ascii="宋体" w:hAnsi="宋体" w:cs="宋体"/>
            </w:rPr>
            <w:t>五、其他商务要求内容</w:t>
          </w:r>
          <w:r>
            <w:tab/>
          </w:r>
          <w:r>
            <w:fldChar w:fldCharType="begin"/>
          </w:r>
          <w:r>
            <w:instrText xml:space="preserve"> PAGEREF _Toc22574 \h </w:instrText>
          </w:r>
          <w:r>
            <w:fldChar w:fldCharType="separate"/>
          </w:r>
          <w:r>
            <w:t>- 7 -</w:t>
          </w:r>
          <w:r>
            <w:fldChar w:fldCharType="end"/>
          </w:r>
          <w:r>
            <w:fldChar w:fldCharType="end"/>
          </w:r>
        </w:p>
        <w:p>
          <w:pPr>
            <w:pStyle w:val="39"/>
            <w:tabs>
              <w:tab w:val="right" w:leader="dot" w:pos="9412"/>
            </w:tabs>
          </w:pPr>
          <w:r>
            <w:fldChar w:fldCharType="begin"/>
          </w:r>
          <w:r>
            <w:instrText xml:space="preserve"> HYPERLINK \l "_Toc19421" </w:instrText>
          </w:r>
          <w:r>
            <w:fldChar w:fldCharType="separate"/>
          </w:r>
          <w:r>
            <w:rPr>
              <w:rFonts w:ascii="宋体" w:hAnsi="宋体" w:cs="宋体"/>
            </w:rPr>
            <w:t>第四篇磋商程序及方法、评审标准、无效响应和采购终止</w:t>
          </w:r>
          <w:r>
            <w:tab/>
          </w:r>
          <w:r>
            <w:fldChar w:fldCharType="begin"/>
          </w:r>
          <w:r>
            <w:instrText xml:space="preserve"> PAGEREF _Toc19421 \h </w:instrText>
          </w:r>
          <w:r>
            <w:fldChar w:fldCharType="separate"/>
          </w:r>
          <w:r>
            <w:t>- 8 -</w:t>
          </w:r>
          <w:r>
            <w:fldChar w:fldCharType="end"/>
          </w:r>
          <w:r>
            <w:fldChar w:fldCharType="end"/>
          </w:r>
        </w:p>
        <w:p>
          <w:pPr>
            <w:pStyle w:val="48"/>
            <w:tabs>
              <w:tab w:val="right" w:leader="dot" w:pos="9412"/>
            </w:tabs>
            <w:ind w:left="560"/>
          </w:pPr>
          <w:r>
            <w:fldChar w:fldCharType="begin"/>
          </w:r>
          <w:r>
            <w:instrText xml:space="preserve"> HYPERLINK \l "_Toc28040" </w:instrText>
          </w:r>
          <w:r>
            <w:fldChar w:fldCharType="separate"/>
          </w:r>
          <w:r>
            <w:rPr>
              <w:rFonts w:ascii="宋体" w:hAnsi="宋体" w:cs="宋体"/>
            </w:rPr>
            <w:t>一、磋商程序及方法</w:t>
          </w:r>
          <w:r>
            <w:tab/>
          </w:r>
          <w:r>
            <w:fldChar w:fldCharType="begin"/>
          </w:r>
          <w:r>
            <w:instrText xml:space="preserve"> PAGEREF _Toc28040 \h </w:instrText>
          </w:r>
          <w:r>
            <w:fldChar w:fldCharType="separate"/>
          </w:r>
          <w:r>
            <w:t>- 8 -</w:t>
          </w:r>
          <w:r>
            <w:fldChar w:fldCharType="end"/>
          </w:r>
          <w:r>
            <w:fldChar w:fldCharType="end"/>
          </w:r>
        </w:p>
        <w:p>
          <w:pPr>
            <w:pStyle w:val="48"/>
            <w:tabs>
              <w:tab w:val="right" w:leader="dot" w:pos="9412"/>
            </w:tabs>
            <w:ind w:left="560"/>
          </w:pPr>
          <w:r>
            <w:fldChar w:fldCharType="begin"/>
          </w:r>
          <w:r>
            <w:instrText xml:space="preserve"> HYPERLINK \l "_Toc32595" </w:instrText>
          </w:r>
          <w:r>
            <w:fldChar w:fldCharType="separate"/>
          </w:r>
          <w:r>
            <w:rPr>
              <w:rFonts w:hint="eastAsia" w:ascii="宋体" w:hAnsi="宋体" w:cs="宋体"/>
            </w:rPr>
            <w:t>二、评审标准</w:t>
          </w:r>
          <w:r>
            <w:tab/>
          </w:r>
          <w:r>
            <w:fldChar w:fldCharType="begin"/>
          </w:r>
          <w:r>
            <w:instrText xml:space="preserve"> PAGEREF _Toc32595 \h </w:instrText>
          </w:r>
          <w:r>
            <w:fldChar w:fldCharType="separate"/>
          </w:r>
          <w:r>
            <w:t>- 10 -</w:t>
          </w:r>
          <w:r>
            <w:fldChar w:fldCharType="end"/>
          </w:r>
          <w:r>
            <w:fldChar w:fldCharType="end"/>
          </w:r>
        </w:p>
        <w:p>
          <w:pPr>
            <w:pStyle w:val="48"/>
            <w:tabs>
              <w:tab w:val="right" w:leader="dot" w:pos="9412"/>
            </w:tabs>
            <w:ind w:left="560"/>
          </w:pPr>
          <w:r>
            <w:fldChar w:fldCharType="begin"/>
          </w:r>
          <w:r>
            <w:instrText xml:space="preserve"> HYPERLINK \l "_Toc24253" </w:instrText>
          </w:r>
          <w:r>
            <w:fldChar w:fldCharType="separate"/>
          </w:r>
          <w:r>
            <w:rPr>
              <w:rFonts w:ascii="宋体" w:hAnsi="宋体" w:cs="宋体"/>
            </w:rPr>
            <w:t>三、无效响应</w:t>
          </w:r>
          <w:r>
            <w:tab/>
          </w:r>
          <w:r>
            <w:fldChar w:fldCharType="begin"/>
          </w:r>
          <w:r>
            <w:instrText xml:space="preserve"> PAGEREF _Toc24253 \h </w:instrText>
          </w:r>
          <w:r>
            <w:fldChar w:fldCharType="separate"/>
          </w:r>
          <w:r>
            <w:t>- 11 -</w:t>
          </w:r>
          <w:r>
            <w:fldChar w:fldCharType="end"/>
          </w:r>
          <w:r>
            <w:fldChar w:fldCharType="end"/>
          </w:r>
        </w:p>
        <w:p>
          <w:pPr>
            <w:pStyle w:val="48"/>
            <w:tabs>
              <w:tab w:val="right" w:leader="dot" w:pos="9412"/>
            </w:tabs>
            <w:ind w:left="560"/>
          </w:pPr>
          <w:r>
            <w:fldChar w:fldCharType="begin"/>
          </w:r>
          <w:r>
            <w:instrText xml:space="preserve"> HYPERLINK \l "_Toc22158" </w:instrText>
          </w:r>
          <w:r>
            <w:fldChar w:fldCharType="separate"/>
          </w:r>
          <w:r>
            <w:rPr>
              <w:rFonts w:ascii="宋体" w:hAnsi="宋体" w:cs="宋体"/>
            </w:rPr>
            <w:t>四、采购终止</w:t>
          </w:r>
          <w:r>
            <w:tab/>
          </w:r>
          <w:r>
            <w:fldChar w:fldCharType="begin"/>
          </w:r>
          <w:r>
            <w:instrText xml:space="preserve"> PAGEREF _Toc22158 \h </w:instrText>
          </w:r>
          <w:r>
            <w:fldChar w:fldCharType="separate"/>
          </w:r>
          <w:r>
            <w:t>- 12 -</w:t>
          </w:r>
          <w:r>
            <w:fldChar w:fldCharType="end"/>
          </w:r>
          <w:r>
            <w:fldChar w:fldCharType="end"/>
          </w:r>
        </w:p>
        <w:p>
          <w:pPr>
            <w:pStyle w:val="39"/>
            <w:tabs>
              <w:tab w:val="right" w:leader="dot" w:pos="9412"/>
            </w:tabs>
          </w:pPr>
          <w:r>
            <w:fldChar w:fldCharType="begin"/>
          </w:r>
          <w:r>
            <w:instrText xml:space="preserve"> HYPERLINK \l "_Toc28568" </w:instrText>
          </w:r>
          <w:r>
            <w:fldChar w:fldCharType="separate"/>
          </w:r>
          <w:r>
            <w:rPr>
              <w:rFonts w:ascii="宋体" w:hAnsi="宋体" w:cs="宋体"/>
            </w:rPr>
            <w:t>第五篇供应商须知</w:t>
          </w:r>
          <w:r>
            <w:tab/>
          </w:r>
          <w:r>
            <w:fldChar w:fldCharType="begin"/>
          </w:r>
          <w:r>
            <w:instrText xml:space="preserve"> PAGEREF _Toc28568 \h </w:instrText>
          </w:r>
          <w:r>
            <w:fldChar w:fldCharType="separate"/>
          </w:r>
          <w:r>
            <w:t>- 13 -</w:t>
          </w:r>
          <w:r>
            <w:fldChar w:fldCharType="end"/>
          </w:r>
          <w:r>
            <w:fldChar w:fldCharType="end"/>
          </w:r>
        </w:p>
        <w:p>
          <w:pPr>
            <w:pStyle w:val="48"/>
            <w:tabs>
              <w:tab w:val="right" w:leader="dot" w:pos="9412"/>
            </w:tabs>
            <w:ind w:left="560"/>
          </w:pPr>
          <w:r>
            <w:fldChar w:fldCharType="begin"/>
          </w:r>
          <w:r>
            <w:instrText xml:space="preserve"> HYPERLINK \l "_Toc6899" </w:instrText>
          </w:r>
          <w:r>
            <w:fldChar w:fldCharType="separate"/>
          </w:r>
          <w:r>
            <w:rPr>
              <w:rFonts w:hint="eastAsia" w:ascii="宋体" w:hAnsi="宋体" w:cs="宋体"/>
              <w:szCs w:val="24"/>
            </w:rPr>
            <w:t>一、磋商费用</w:t>
          </w:r>
          <w:r>
            <w:tab/>
          </w:r>
          <w:r>
            <w:fldChar w:fldCharType="begin"/>
          </w:r>
          <w:r>
            <w:instrText xml:space="preserve"> PAGEREF _Toc6899 \h </w:instrText>
          </w:r>
          <w:r>
            <w:fldChar w:fldCharType="separate"/>
          </w:r>
          <w:r>
            <w:t>- 13 -</w:t>
          </w:r>
          <w:r>
            <w:fldChar w:fldCharType="end"/>
          </w:r>
          <w:r>
            <w:fldChar w:fldCharType="end"/>
          </w:r>
        </w:p>
        <w:p>
          <w:pPr>
            <w:pStyle w:val="48"/>
            <w:tabs>
              <w:tab w:val="right" w:leader="dot" w:pos="9412"/>
            </w:tabs>
            <w:ind w:left="560"/>
          </w:pPr>
          <w:r>
            <w:fldChar w:fldCharType="begin"/>
          </w:r>
          <w:r>
            <w:instrText xml:space="preserve"> HYPERLINK \l "_Toc3498" </w:instrText>
          </w:r>
          <w:r>
            <w:fldChar w:fldCharType="separate"/>
          </w:r>
          <w:r>
            <w:rPr>
              <w:rFonts w:hint="eastAsia" w:ascii="宋体" w:hAnsi="宋体" w:cs="宋体"/>
              <w:szCs w:val="24"/>
            </w:rPr>
            <w:t>二、竞争性磋商文件</w:t>
          </w:r>
          <w:r>
            <w:tab/>
          </w:r>
          <w:r>
            <w:fldChar w:fldCharType="begin"/>
          </w:r>
          <w:r>
            <w:instrText xml:space="preserve"> PAGEREF _Toc3498 \h </w:instrText>
          </w:r>
          <w:r>
            <w:fldChar w:fldCharType="separate"/>
          </w:r>
          <w:r>
            <w:t>- 13 -</w:t>
          </w:r>
          <w:r>
            <w:fldChar w:fldCharType="end"/>
          </w:r>
          <w:r>
            <w:fldChar w:fldCharType="end"/>
          </w:r>
        </w:p>
        <w:p>
          <w:pPr>
            <w:pStyle w:val="48"/>
            <w:tabs>
              <w:tab w:val="right" w:leader="dot" w:pos="9412"/>
            </w:tabs>
            <w:ind w:left="560"/>
          </w:pPr>
          <w:r>
            <w:fldChar w:fldCharType="begin"/>
          </w:r>
          <w:r>
            <w:instrText xml:space="preserve"> HYPERLINK \l "_Toc3745" </w:instrText>
          </w:r>
          <w:r>
            <w:fldChar w:fldCharType="separate"/>
          </w:r>
          <w:r>
            <w:rPr>
              <w:rFonts w:hint="eastAsia" w:ascii="宋体" w:hAnsi="宋体" w:cs="宋体"/>
              <w:szCs w:val="24"/>
            </w:rPr>
            <w:t>三、磋商要求</w:t>
          </w:r>
          <w:r>
            <w:tab/>
          </w:r>
          <w:r>
            <w:fldChar w:fldCharType="begin"/>
          </w:r>
          <w:r>
            <w:instrText xml:space="preserve"> PAGEREF _Toc3745 \h </w:instrText>
          </w:r>
          <w:r>
            <w:fldChar w:fldCharType="separate"/>
          </w:r>
          <w:r>
            <w:t>- 13 -</w:t>
          </w:r>
          <w:r>
            <w:fldChar w:fldCharType="end"/>
          </w:r>
          <w:r>
            <w:fldChar w:fldCharType="end"/>
          </w:r>
        </w:p>
        <w:p>
          <w:pPr>
            <w:pStyle w:val="48"/>
            <w:tabs>
              <w:tab w:val="right" w:leader="dot" w:pos="9412"/>
            </w:tabs>
            <w:ind w:left="560"/>
          </w:pPr>
          <w:r>
            <w:fldChar w:fldCharType="begin"/>
          </w:r>
          <w:r>
            <w:instrText xml:space="preserve"> HYPERLINK \l "_Toc6682" </w:instrText>
          </w:r>
          <w:r>
            <w:fldChar w:fldCharType="separate"/>
          </w:r>
          <w:r>
            <w:rPr>
              <w:rFonts w:hint="eastAsia" w:ascii="宋体" w:hAnsi="宋体" w:cs="宋体"/>
              <w:szCs w:val="24"/>
            </w:rPr>
            <w:t>四、成交供应商的确认和变更</w:t>
          </w:r>
          <w:r>
            <w:tab/>
          </w:r>
          <w:r>
            <w:fldChar w:fldCharType="begin"/>
          </w:r>
          <w:r>
            <w:instrText xml:space="preserve"> PAGEREF _Toc6682 \h </w:instrText>
          </w:r>
          <w:r>
            <w:fldChar w:fldCharType="separate"/>
          </w:r>
          <w:r>
            <w:t>- 14 -</w:t>
          </w:r>
          <w:r>
            <w:fldChar w:fldCharType="end"/>
          </w:r>
          <w:r>
            <w:fldChar w:fldCharType="end"/>
          </w:r>
        </w:p>
        <w:p>
          <w:pPr>
            <w:pStyle w:val="48"/>
            <w:tabs>
              <w:tab w:val="right" w:leader="dot" w:pos="9412"/>
            </w:tabs>
            <w:ind w:left="560"/>
          </w:pPr>
          <w:r>
            <w:fldChar w:fldCharType="begin"/>
          </w:r>
          <w:r>
            <w:instrText xml:space="preserve"> HYPERLINK \l "_Toc16256" </w:instrText>
          </w:r>
          <w:r>
            <w:fldChar w:fldCharType="separate"/>
          </w:r>
          <w:r>
            <w:rPr>
              <w:rFonts w:hint="eastAsia" w:ascii="宋体" w:hAnsi="宋体" w:cs="宋体"/>
              <w:szCs w:val="24"/>
            </w:rPr>
            <w:t>五、成交通知</w:t>
          </w:r>
          <w:r>
            <w:tab/>
          </w:r>
          <w:r>
            <w:fldChar w:fldCharType="begin"/>
          </w:r>
          <w:r>
            <w:instrText xml:space="preserve"> PAGEREF _Toc16256 \h </w:instrText>
          </w:r>
          <w:r>
            <w:fldChar w:fldCharType="separate"/>
          </w:r>
          <w:r>
            <w:t>- 15 -</w:t>
          </w:r>
          <w:r>
            <w:fldChar w:fldCharType="end"/>
          </w:r>
          <w:r>
            <w:fldChar w:fldCharType="end"/>
          </w:r>
        </w:p>
        <w:p>
          <w:pPr>
            <w:pStyle w:val="48"/>
            <w:tabs>
              <w:tab w:val="right" w:leader="dot" w:pos="9412"/>
            </w:tabs>
            <w:ind w:left="560"/>
          </w:pPr>
          <w:r>
            <w:fldChar w:fldCharType="begin"/>
          </w:r>
          <w:r>
            <w:instrText xml:space="preserve"> HYPERLINK \l "_Toc24334" </w:instrText>
          </w:r>
          <w:r>
            <w:fldChar w:fldCharType="separate"/>
          </w:r>
          <w:r>
            <w:rPr>
              <w:rFonts w:hint="eastAsia" w:ascii="宋体" w:hAnsi="宋体" w:cs="宋体"/>
              <w:szCs w:val="24"/>
            </w:rPr>
            <w:t>六、关于质疑和投诉</w:t>
          </w:r>
          <w:r>
            <w:tab/>
          </w:r>
          <w:r>
            <w:fldChar w:fldCharType="begin"/>
          </w:r>
          <w:r>
            <w:instrText xml:space="preserve"> PAGEREF _Toc24334 \h </w:instrText>
          </w:r>
          <w:r>
            <w:fldChar w:fldCharType="separate"/>
          </w:r>
          <w:r>
            <w:t>- 15 -</w:t>
          </w:r>
          <w:r>
            <w:fldChar w:fldCharType="end"/>
          </w:r>
          <w:r>
            <w:fldChar w:fldCharType="end"/>
          </w:r>
        </w:p>
        <w:p>
          <w:pPr>
            <w:pStyle w:val="48"/>
            <w:tabs>
              <w:tab w:val="right" w:leader="dot" w:pos="9412"/>
            </w:tabs>
            <w:ind w:left="560"/>
          </w:pPr>
          <w:r>
            <w:fldChar w:fldCharType="begin"/>
          </w:r>
          <w:r>
            <w:instrText xml:space="preserve"> HYPERLINK \l "_Toc23444" </w:instrText>
          </w:r>
          <w:r>
            <w:fldChar w:fldCharType="separate"/>
          </w:r>
          <w:r>
            <w:rPr>
              <w:rFonts w:hint="eastAsia" w:ascii="宋体" w:hAnsi="宋体" w:cs="宋体"/>
              <w:szCs w:val="24"/>
            </w:rPr>
            <w:t>七、</w:t>
          </w:r>
          <w:r>
            <w:fldChar w:fldCharType="end"/>
          </w:r>
          <w:r>
            <w:fldChar w:fldCharType="begin"/>
          </w:r>
          <w:r>
            <w:instrText xml:space="preserve"> HYPERLINK \l "_Toc22794" </w:instrText>
          </w:r>
          <w:r>
            <w:fldChar w:fldCharType="separate"/>
          </w:r>
          <w:r>
            <w:rPr>
              <w:rFonts w:ascii="宋体" w:hAnsi="宋体" w:cs="宋体"/>
            </w:rPr>
            <w:t>签订合同</w:t>
          </w:r>
          <w:r>
            <w:tab/>
          </w:r>
          <w:r>
            <w:fldChar w:fldCharType="begin"/>
          </w:r>
          <w:r>
            <w:instrText xml:space="preserve"> PAGEREF _Toc22794 \h </w:instrText>
          </w:r>
          <w:r>
            <w:fldChar w:fldCharType="separate"/>
          </w:r>
          <w:r>
            <w:t>- 16 -</w:t>
          </w:r>
          <w:r>
            <w:fldChar w:fldCharType="end"/>
          </w:r>
          <w:r>
            <w:fldChar w:fldCharType="end"/>
          </w:r>
        </w:p>
        <w:p>
          <w:pPr>
            <w:pStyle w:val="39"/>
            <w:tabs>
              <w:tab w:val="right" w:leader="dot" w:pos="9412"/>
            </w:tabs>
          </w:pPr>
          <w:r>
            <w:fldChar w:fldCharType="begin"/>
          </w:r>
          <w:r>
            <w:instrText xml:space="preserve"> HYPERLINK \l "_Toc6051" </w:instrText>
          </w:r>
          <w:r>
            <w:fldChar w:fldCharType="separate"/>
          </w:r>
          <w:r>
            <w:rPr>
              <w:rFonts w:ascii="宋体" w:hAnsi="宋体" w:cs="宋体"/>
              <w:bCs/>
            </w:rPr>
            <w:t>第六篇政府采购合同</w:t>
          </w:r>
          <w:r>
            <w:tab/>
          </w:r>
          <w:r>
            <w:fldChar w:fldCharType="begin"/>
          </w:r>
          <w:r>
            <w:instrText xml:space="preserve"> PAGEREF _Toc6051 \h </w:instrText>
          </w:r>
          <w:r>
            <w:fldChar w:fldCharType="separate"/>
          </w:r>
          <w:r>
            <w:t>- 17 -</w:t>
          </w:r>
          <w:r>
            <w:fldChar w:fldCharType="end"/>
          </w:r>
          <w:r>
            <w:fldChar w:fldCharType="end"/>
          </w:r>
        </w:p>
        <w:p>
          <w:pPr>
            <w:pStyle w:val="39"/>
            <w:tabs>
              <w:tab w:val="right" w:leader="dot" w:pos="9412"/>
            </w:tabs>
          </w:pPr>
          <w:r>
            <w:fldChar w:fldCharType="begin"/>
          </w:r>
          <w:r>
            <w:instrText xml:space="preserve"> HYPERLINK \l "_Toc15752" </w:instrText>
          </w:r>
          <w:r>
            <w:fldChar w:fldCharType="separate"/>
          </w:r>
          <w:r>
            <w:rPr>
              <w:rFonts w:ascii="宋体" w:hAnsi="宋体" w:cs="宋体"/>
            </w:rPr>
            <w:t>第七篇响应文件编制要求</w:t>
          </w:r>
          <w:r>
            <w:tab/>
          </w:r>
          <w:r>
            <w:fldChar w:fldCharType="begin"/>
          </w:r>
          <w:r>
            <w:instrText xml:space="preserve"> PAGEREF _Toc15752 \h </w:instrText>
          </w:r>
          <w:r>
            <w:fldChar w:fldCharType="separate"/>
          </w:r>
          <w:r>
            <w:t>- 17 -</w:t>
          </w:r>
          <w:r>
            <w:fldChar w:fldCharType="end"/>
          </w:r>
          <w:r>
            <w:fldChar w:fldCharType="end"/>
          </w:r>
        </w:p>
        <w:p>
          <w:pPr>
            <w:tabs>
              <w:tab w:val="right" w:leader="dot" w:pos="9402"/>
            </w:tabs>
            <w:spacing w:line="480" w:lineRule="auto"/>
            <w:ind w:left="560"/>
            <w:jc w:val="center"/>
            <w:rPr>
              <w:rFonts w:ascii="宋体" w:hAnsi="宋体" w:cs="宋体"/>
              <w:sz w:val="18"/>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ascii="宋体" w:hAnsi="宋体" w:cs="宋体"/>
              <w:szCs w:val="28"/>
            </w:rPr>
            <w:fldChar w:fldCharType="end"/>
          </w:r>
        </w:p>
      </w:sdtContent>
    </w:sdt>
    <w:p>
      <w:pPr>
        <w:keepNext/>
        <w:keepLines/>
        <w:spacing w:before="260" w:after="260" w:line="440" w:lineRule="exact"/>
        <w:ind w:left="0" w:leftChars="0" w:firstLine="0" w:firstLineChars="0"/>
        <w:jc w:val="center"/>
        <w:outlineLvl w:val="0"/>
        <w:rPr>
          <w:rFonts w:ascii="宋体" w:hAnsi="宋体" w:cs="宋体"/>
          <w:sz w:val="32"/>
        </w:rPr>
      </w:pPr>
      <w:bookmarkStart w:id="2" w:name="_Toc9824"/>
      <w:r>
        <w:rPr>
          <w:rFonts w:ascii="宋体" w:hAnsi="宋体" w:cs="宋体"/>
          <w:sz w:val="36"/>
        </w:rPr>
        <w:t>第一篇采购邀请书</w:t>
      </w:r>
      <w:bookmarkEnd w:id="0"/>
      <w:bookmarkEnd w:id="1"/>
      <w:bookmarkEnd w:id="2"/>
    </w:p>
    <w:p>
      <w:pPr>
        <w:spacing w:line="440" w:lineRule="exact"/>
        <w:ind w:firstLine="480" w:firstLineChars="200"/>
        <w:rPr>
          <w:rFonts w:ascii="宋体" w:hAnsi="宋体" w:cs="宋体"/>
          <w:sz w:val="24"/>
          <w:highlight w:val="none"/>
        </w:rPr>
      </w:pPr>
      <w:r>
        <w:rPr>
          <w:rFonts w:hint="eastAsia" w:ascii="宋体" w:hAnsi="宋体" w:cs="宋体"/>
          <w:sz w:val="24"/>
          <w:u w:val="single"/>
          <w:lang w:eastAsia="zh-CN"/>
        </w:rPr>
        <w:t>万隆建设工程咨询集团有限公司</w:t>
      </w:r>
      <w:r>
        <w:rPr>
          <w:rFonts w:ascii="宋体" w:hAnsi="宋体" w:cs="宋体"/>
          <w:sz w:val="24"/>
        </w:rPr>
        <w:t>（以下简称：采购代理机构）受</w:t>
      </w:r>
      <w:r>
        <w:rPr>
          <w:rFonts w:hint="eastAsia" w:ascii="宋体" w:hAnsi="宋体" w:eastAsia="宋体" w:cs="宋体"/>
          <w:sz w:val="24"/>
          <w:szCs w:val="22"/>
          <w:u w:val="single"/>
          <w:lang w:val="en-US" w:eastAsia="zh-CN"/>
        </w:rPr>
        <w:t>重庆市安居古城迎龙游乐有限公司</w:t>
      </w:r>
      <w:r>
        <w:rPr>
          <w:rFonts w:ascii="宋体" w:hAnsi="宋体" w:cs="宋体"/>
          <w:sz w:val="24"/>
        </w:rPr>
        <w:t>的</w:t>
      </w:r>
      <w:r>
        <w:rPr>
          <w:rFonts w:ascii="宋体" w:hAnsi="宋体" w:cs="宋体"/>
          <w:sz w:val="24"/>
          <w:highlight w:val="none"/>
        </w:rPr>
        <w:t>委托，对</w:t>
      </w:r>
      <w:r>
        <w:rPr>
          <w:rFonts w:hint="default" w:ascii="宋体" w:hAnsi="宋体" w:eastAsia="宋体" w:cs="宋体"/>
          <w:sz w:val="24"/>
          <w:szCs w:val="22"/>
          <w:u w:val="single"/>
          <w:lang w:val="en-US" w:eastAsia="zh-CN"/>
        </w:rPr>
        <w:t>2022年安居古城端午龙舟会</w:t>
      </w:r>
      <w:r>
        <w:rPr>
          <w:rFonts w:hint="eastAsia" w:ascii="宋体" w:hAnsi="宋体" w:eastAsia="宋体" w:cs="宋体"/>
          <w:sz w:val="24"/>
          <w:szCs w:val="22"/>
          <w:u w:val="single"/>
          <w:lang w:val="en-US" w:eastAsia="zh-CN"/>
        </w:rPr>
        <w:t>活动</w:t>
      </w:r>
      <w:r>
        <w:rPr>
          <w:rFonts w:ascii="宋体" w:hAnsi="宋体" w:cs="宋体"/>
          <w:sz w:val="24"/>
          <w:highlight w:val="none"/>
        </w:rPr>
        <w:t>进行竞争性磋商采购。欢迎有资格的供应商前来参与磋商。</w:t>
      </w:r>
    </w:p>
    <w:p>
      <w:pPr>
        <w:keepNext/>
        <w:keepLines/>
        <w:spacing w:line="440" w:lineRule="exact"/>
        <w:ind w:firstLine="482" w:firstLineChars="200"/>
        <w:outlineLvl w:val="1"/>
        <w:rPr>
          <w:rFonts w:ascii="宋体" w:hAnsi="宋体" w:cs="宋体"/>
          <w:b/>
          <w:sz w:val="24"/>
          <w:highlight w:val="none"/>
        </w:rPr>
      </w:pPr>
      <w:bookmarkStart w:id="3" w:name="_Toc6325"/>
      <w:bookmarkStart w:id="4" w:name="_Toc18247"/>
      <w:r>
        <w:rPr>
          <w:rFonts w:ascii="宋体" w:hAnsi="宋体" w:cs="宋体"/>
          <w:b/>
          <w:sz w:val="24"/>
          <w:highlight w:val="none"/>
        </w:rPr>
        <w:t>一、竞争性磋商内容</w:t>
      </w:r>
      <w:bookmarkEnd w:id="3"/>
      <w:bookmarkEnd w:id="4"/>
    </w:p>
    <w:tbl>
      <w:tblPr>
        <w:tblStyle w:val="60"/>
        <w:tblW w:w="9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904"/>
        <w:gridCol w:w="1246"/>
        <w:gridCol w:w="1281"/>
        <w:gridCol w:w="1281"/>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5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highlight w:val="none"/>
              </w:rPr>
            </w:pPr>
            <w:r>
              <w:rPr>
                <w:rFonts w:hint="eastAsia" w:ascii="宋体" w:hAnsi="宋体" w:cs="宋体"/>
                <w:b/>
                <w:bCs/>
                <w:kern w:val="0"/>
                <w:sz w:val="21"/>
                <w:szCs w:val="24"/>
                <w:highlight w:val="none"/>
              </w:rPr>
              <w:t>序号</w:t>
            </w:r>
          </w:p>
        </w:tc>
        <w:tc>
          <w:tcPr>
            <w:tcW w:w="190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highlight w:val="none"/>
              </w:rPr>
            </w:pPr>
            <w:r>
              <w:rPr>
                <w:rFonts w:hint="eastAsia" w:ascii="宋体" w:hAnsi="宋体" w:cs="宋体"/>
                <w:b/>
                <w:bCs/>
                <w:kern w:val="0"/>
                <w:sz w:val="21"/>
                <w:szCs w:val="24"/>
                <w:highlight w:val="none"/>
              </w:rPr>
              <w:t>项目名称</w:t>
            </w:r>
          </w:p>
        </w:tc>
        <w:tc>
          <w:tcPr>
            <w:tcW w:w="124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最高限价</w:t>
            </w:r>
          </w:p>
          <w:p>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（元）</w:t>
            </w:r>
          </w:p>
        </w:tc>
        <w:tc>
          <w:tcPr>
            <w:tcW w:w="1281"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lang w:val="en-US" w:eastAsia="zh-CN"/>
              </w:rPr>
              <w:t>投标</w:t>
            </w:r>
            <w:r>
              <w:rPr>
                <w:rFonts w:hint="eastAsia" w:ascii="宋体" w:hAnsi="宋体" w:cs="宋体"/>
                <w:b/>
                <w:bCs/>
                <w:color w:val="auto"/>
                <w:kern w:val="0"/>
                <w:sz w:val="21"/>
                <w:szCs w:val="24"/>
                <w:highlight w:val="none"/>
              </w:rPr>
              <w:t>保证金</w:t>
            </w:r>
          </w:p>
          <w:p>
            <w:pPr>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（元）</w:t>
            </w:r>
          </w:p>
        </w:tc>
        <w:tc>
          <w:tcPr>
            <w:tcW w:w="1281"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成交供应商数量（名）</w:t>
            </w:r>
          </w:p>
        </w:tc>
        <w:tc>
          <w:tcPr>
            <w:tcW w:w="2602"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954" w:type="dxa"/>
            <w:tcBorders>
              <w:left w:val="single" w:color="auto" w:sz="4" w:space="0"/>
              <w:right w:val="single" w:color="auto" w:sz="4" w:space="0"/>
            </w:tcBorders>
            <w:vAlign w:val="center"/>
          </w:tcPr>
          <w:p>
            <w:pPr>
              <w:widowControl/>
              <w:jc w:val="center"/>
              <w:rPr>
                <w:rFonts w:ascii="宋体" w:hAnsi="宋体" w:cs="宋体"/>
                <w:kern w:val="0"/>
                <w:sz w:val="21"/>
                <w:szCs w:val="24"/>
                <w:highlight w:val="none"/>
              </w:rPr>
            </w:pPr>
            <w:r>
              <w:rPr>
                <w:rFonts w:hint="eastAsia" w:ascii="宋体" w:hAnsi="宋体" w:cs="宋体"/>
                <w:kern w:val="0"/>
                <w:sz w:val="21"/>
                <w:szCs w:val="24"/>
                <w:highlight w:val="none"/>
              </w:rPr>
              <w:t>1</w:t>
            </w: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default" w:ascii="宋体" w:hAnsi="宋体" w:eastAsia="宋体" w:cs="宋体"/>
                <w:sz w:val="21"/>
                <w:szCs w:val="21"/>
                <w:u w:val="none"/>
                <w:lang w:val="en-US" w:eastAsia="zh-CN"/>
              </w:rPr>
              <w:t>2022年安居古城端午龙舟会</w:t>
            </w:r>
            <w:r>
              <w:rPr>
                <w:rFonts w:hint="eastAsia" w:ascii="宋体" w:hAnsi="宋体" w:eastAsia="宋体" w:cs="宋体"/>
                <w:sz w:val="21"/>
                <w:szCs w:val="21"/>
                <w:u w:val="none"/>
                <w:lang w:val="en-US" w:eastAsia="zh-CN"/>
              </w:rPr>
              <w:t>活动</w:t>
            </w:r>
          </w:p>
        </w:tc>
        <w:tc>
          <w:tcPr>
            <w:tcW w:w="1246" w:type="dxa"/>
            <w:tcBorders>
              <w:left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lang w:val="en-US" w:eastAsia="zh-CN"/>
              </w:rPr>
              <w:t>1999534</w:t>
            </w:r>
          </w:p>
        </w:tc>
        <w:tc>
          <w:tcPr>
            <w:tcW w:w="1281" w:type="dxa"/>
            <w:tcBorders>
              <w:left w:val="single" w:color="auto" w:sz="4" w:space="0"/>
              <w:right w:val="single" w:color="auto" w:sz="4" w:space="0"/>
            </w:tcBorders>
            <w:vAlign w:val="center"/>
          </w:tcPr>
          <w:p>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39000</w:t>
            </w:r>
          </w:p>
        </w:tc>
        <w:tc>
          <w:tcPr>
            <w:tcW w:w="1281" w:type="dxa"/>
            <w:tcBorders>
              <w:left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1</w:t>
            </w:r>
          </w:p>
        </w:tc>
        <w:tc>
          <w:tcPr>
            <w:tcW w:w="2602" w:type="dxa"/>
            <w:tcBorders>
              <w:left w:val="single" w:color="auto" w:sz="4" w:space="0"/>
              <w:right w:val="single" w:color="auto" w:sz="4" w:space="0"/>
            </w:tcBorders>
            <w:vAlign w:val="center"/>
          </w:tcPr>
          <w:p>
            <w:pPr>
              <w:jc w:val="center"/>
              <w:rPr>
                <w:rFonts w:ascii="宋体" w:hAnsi="宋体"/>
                <w:sz w:val="21"/>
                <w:szCs w:val="21"/>
                <w:highlight w:val="none"/>
              </w:rPr>
            </w:pPr>
            <w:r>
              <w:rPr>
                <w:rFonts w:ascii="宋体" w:hAnsi="宋体"/>
                <w:sz w:val="21"/>
                <w:szCs w:val="21"/>
                <w:highlight w:val="none"/>
              </w:rPr>
              <w:t>其他未列明行业</w:t>
            </w:r>
          </w:p>
        </w:tc>
      </w:tr>
    </w:tbl>
    <w:p>
      <w:pPr>
        <w:keepNext/>
        <w:keepLines/>
        <w:spacing w:line="440" w:lineRule="exact"/>
        <w:ind w:firstLine="482" w:firstLineChars="200"/>
        <w:outlineLvl w:val="1"/>
        <w:rPr>
          <w:rFonts w:ascii="宋体" w:hAnsi="宋体" w:cs="宋体"/>
          <w:b/>
          <w:sz w:val="24"/>
          <w:highlight w:val="none"/>
        </w:rPr>
      </w:pPr>
      <w:bookmarkStart w:id="5" w:name="_Toc1878"/>
      <w:bookmarkStart w:id="6" w:name="_Toc15430"/>
      <w:r>
        <w:rPr>
          <w:rFonts w:ascii="宋体" w:hAnsi="宋体" w:cs="宋体"/>
          <w:b/>
          <w:sz w:val="24"/>
          <w:highlight w:val="none"/>
        </w:rPr>
        <w:t>二、资金来源</w:t>
      </w:r>
      <w:bookmarkEnd w:id="5"/>
      <w:bookmarkEnd w:id="6"/>
    </w:p>
    <w:p>
      <w:pPr>
        <w:spacing w:line="440" w:lineRule="exact"/>
        <w:ind w:firstLine="480" w:firstLineChars="200"/>
        <w:rPr>
          <w:rFonts w:ascii="宋体" w:hAnsi="宋体" w:cs="宋体"/>
          <w:sz w:val="24"/>
          <w:szCs w:val="22"/>
          <w:highlight w:val="none"/>
        </w:rPr>
      </w:pPr>
      <w:r>
        <w:rPr>
          <w:rFonts w:ascii="宋体" w:hAnsi="宋体" w:cs="宋体"/>
          <w:sz w:val="24"/>
          <w:highlight w:val="none"/>
        </w:rPr>
        <w:t>预算内资金，预算金额为</w:t>
      </w:r>
      <w:r>
        <w:rPr>
          <w:rFonts w:hint="eastAsia" w:ascii="宋体" w:hAnsi="宋体" w:cs="宋体"/>
          <w:sz w:val="24"/>
          <w:szCs w:val="22"/>
          <w:highlight w:val="none"/>
          <w:lang w:val="en-US" w:eastAsia="zh-CN"/>
        </w:rPr>
        <w:t>1999534</w:t>
      </w:r>
      <w:r>
        <w:rPr>
          <w:rFonts w:hint="eastAsia" w:ascii="宋体" w:hAnsi="宋体" w:cs="宋体"/>
          <w:sz w:val="24"/>
          <w:szCs w:val="22"/>
          <w:highlight w:val="none"/>
        </w:rPr>
        <w:t>元</w:t>
      </w:r>
      <w:r>
        <w:rPr>
          <w:rFonts w:ascii="宋体" w:hAnsi="宋体" w:cs="宋体"/>
          <w:sz w:val="24"/>
          <w:szCs w:val="22"/>
          <w:highlight w:val="none"/>
        </w:rPr>
        <w:t>。</w:t>
      </w:r>
    </w:p>
    <w:p>
      <w:pPr>
        <w:keepNext/>
        <w:keepLines/>
        <w:spacing w:line="440" w:lineRule="exact"/>
        <w:ind w:firstLine="482" w:firstLineChars="200"/>
        <w:outlineLvl w:val="1"/>
        <w:rPr>
          <w:rFonts w:ascii="宋体" w:hAnsi="宋体" w:cs="宋体"/>
          <w:b/>
          <w:sz w:val="24"/>
          <w:highlight w:val="none"/>
        </w:rPr>
      </w:pPr>
      <w:bookmarkStart w:id="7" w:name="_Toc30496"/>
      <w:bookmarkStart w:id="8" w:name="_Toc21698"/>
      <w:r>
        <w:rPr>
          <w:rFonts w:ascii="宋体" w:hAnsi="宋体" w:cs="宋体"/>
          <w:b/>
          <w:sz w:val="24"/>
          <w:highlight w:val="none"/>
        </w:rPr>
        <w:t>三、供应商资格条件</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bookmarkStart w:id="9" w:name="_Toc22081"/>
      <w:bookmarkStart w:id="10" w:name="_Toc2626"/>
      <w:r>
        <w:rPr>
          <w:rFonts w:hint="eastAsia" w:asciiTheme="minorEastAsia" w:hAnsiTheme="minorEastAsia" w:eastAsiaTheme="minorEastAsia" w:cstheme="minorEastAsia"/>
          <w:sz w:val="24"/>
          <w:szCs w:val="24"/>
        </w:rPr>
        <w:t>（一）满足《中华人民共和国政府采购法》第二十二条规定</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（二）特定资格条件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营业执照经营范围须包含以下任意一项：体育活动组织与策划、会议会展设计策划及服务、庆典活动策划及服务、龙舟赛相关的组织和策划等</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2、2017年1月1日至今供应商承办过类似的合同金额达100万元及以上活动方案策划及执行服务项目。</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宋体" w:hAnsi="宋体" w:cs="宋体"/>
          <w:b/>
          <w:sz w:val="24"/>
        </w:rPr>
      </w:pPr>
      <w:r>
        <w:rPr>
          <w:rFonts w:ascii="宋体" w:hAnsi="宋体" w:cs="宋体"/>
          <w:b/>
          <w:sz w:val="24"/>
        </w:rPr>
        <w:t>四、磋商有关说明</w:t>
      </w:r>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（一）本项目采购公告在重庆市公共资源交易网（铜梁区）（https://www.cqggzy.com/tongliangweb/）、安居古城官网（http://www.anjugc.cn/index.htm）上发布。凡有意参加磋商的供应商，请于公告发布之日起至2022年 5 月 16 日在安居古城官网（http://www.anjugc.cn/index.htm）下载相关招标资料。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（二）竞争性磋商文件公告期限：自采购公告发布之日（2022年 5 月11日）起三个工作日。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（三）供应商须满足以下三种要件，其响应文件才被接受：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1、完成报名；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2、按时递交了响应文件；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3、按时签到。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（四）递交响应文件地点：重庆市安居古城迎龙游乐有限公司会议室（地址：重庆安居古城华夏文化旅游发展有限公司大会议室。）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（六）响应文件递交开始时间：2022年5月17日北京时间9:30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响应文件递交截止时间：2022年5月17日北京时间10:00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磋商开始时间：2022年5月17日北京时间10:00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11" w:name="_Toc12864"/>
      <w:bookmarkStart w:id="12" w:name="_Toc4968"/>
      <w:r>
        <w:rPr>
          <w:rFonts w:hint="eastAsia" w:asciiTheme="minorEastAsia" w:hAnsiTheme="minorEastAsia" w:eastAsiaTheme="minorEastAsia" w:cstheme="minorEastAsia"/>
          <w:sz w:val="24"/>
          <w:szCs w:val="24"/>
          <w:lang w:val="en-US" w:eastAsia="zh-CN"/>
        </w:rPr>
        <w:t>五、磋商保证金</w:t>
      </w:r>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（一）投标保证金递交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1.供应商应足额交纳投标保证金（保证金金额详见本篇，一、竞争性磋商内容），并汇至以下账户，投标保证金的到账截止时间同响应文件递交截止时间。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保证金账户：</w:t>
      </w:r>
    </w:p>
    <w:tbl>
      <w:tblPr>
        <w:tblStyle w:val="60"/>
        <w:tblW w:w="8295" w:type="dxa"/>
        <w:jc w:val="center"/>
        <w:tblInd w:w="0" w:type="dxa"/>
        <w:tblLayout w:type="fixed"/>
        <w:tblCellMar>
          <w:top w:w="0" w:type="dxa"/>
          <w:left w:w="0" w:type="dxa"/>
          <w:bottom w:w="0" w:type="dxa"/>
          <w:right w:w="0" w:type="dxa"/>
        </w:tblCellMar>
      </w:tblPr>
      <w:tblGrid>
        <w:gridCol w:w="2998"/>
        <w:gridCol w:w="5297"/>
      </w:tblGrid>
      <w:tr>
        <w:tblPrEx>
          <w:tblLayout w:type="fixed"/>
          <w:tblCellMar>
            <w:top w:w="0" w:type="dxa"/>
            <w:left w:w="0" w:type="dxa"/>
            <w:bottom w:w="0" w:type="dxa"/>
            <w:right w:w="0" w:type="dxa"/>
          </w:tblCellMar>
        </w:tblPrEx>
        <w:trPr>
          <w:trHeight w:val="601" w:hRule="atLeast"/>
          <w:jc w:val="center"/>
        </w:trPr>
        <w:tc>
          <w:tcPr>
            <w:tcW w:w="2998"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公司名称</w:t>
            </w:r>
          </w:p>
        </w:tc>
        <w:tc>
          <w:tcPr>
            <w:tcW w:w="5297"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hint="default" w:ascii="宋体" w:hAnsi="宋体" w:eastAsia="宋体" w:cs="宋体"/>
                <w:color w:val="auto"/>
                <w:spacing w:val="-2"/>
                <w:sz w:val="24"/>
                <w:szCs w:val="24"/>
                <w:highlight w:val="none"/>
                <w:lang w:val="en-US" w:eastAsia="zh-CN"/>
              </w:rPr>
            </w:pPr>
            <w:r>
              <w:rPr>
                <w:rFonts w:hint="default" w:ascii="宋体" w:hAnsi="宋体" w:eastAsia="宋体" w:cs="宋体"/>
                <w:color w:val="auto"/>
                <w:spacing w:val="-2"/>
                <w:sz w:val="24"/>
                <w:szCs w:val="24"/>
                <w:highlight w:val="none"/>
                <w:lang w:val="en-US" w:eastAsia="zh-CN"/>
              </w:rPr>
              <w:t>重庆市安居古城迎龙游乐有限公司</w:t>
            </w:r>
          </w:p>
        </w:tc>
      </w:tr>
      <w:tr>
        <w:tblPrEx>
          <w:tblLayout w:type="fixed"/>
          <w:tblCellMar>
            <w:top w:w="0" w:type="dxa"/>
            <w:left w:w="0" w:type="dxa"/>
            <w:bottom w:w="0" w:type="dxa"/>
            <w:right w:w="0" w:type="dxa"/>
          </w:tblCellMar>
        </w:tblPrEx>
        <w:trPr>
          <w:trHeight w:val="601" w:hRule="atLeast"/>
          <w:jc w:val="center"/>
        </w:trPr>
        <w:tc>
          <w:tcPr>
            <w:tcW w:w="2998"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ascii="宋体" w:hAnsi="宋体" w:eastAsia="宋体" w:cs="宋体"/>
                <w:color w:val="auto"/>
                <w:spacing w:val="-2"/>
                <w:kern w:val="2"/>
                <w:sz w:val="24"/>
                <w:szCs w:val="24"/>
                <w:highlight w:val="none"/>
                <w:lang w:val="en-US" w:eastAsia="zh-CN" w:bidi="ar-SA"/>
              </w:rPr>
            </w:pPr>
            <w:r>
              <w:rPr>
                <w:rFonts w:ascii="宋体" w:hAnsi="宋体" w:cs="宋体"/>
                <w:color w:val="auto"/>
                <w:spacing w:val="-2"/>
                <w:sz w:val="24"/>
                <w:szCs w:val="24"/>
                <w:highlight w:val="none"/>
              </w:rPr>
              <w:t>开户行</w:t>
            </w:r>
          </w:p>
        </w:tc>
        <w:tc>
          <w:tcPr>
            <w:tcW w:w="5297"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hint="default"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lang w:val="en-US" w:eastAsia="zh-CN"/>
              </w:rPr>
              <w:t>中国农业银行股份有限公司重庆铜梁安居支行</w:t>
            </w:r>
          </w:p>
        </w:tc>
      </w:tr>
      <w:tr>
        <w:tblPrEx>
          <w:tblLayout w:type="fixed"/>
          <w:tblCellMar>
            <w:top w:w="0" w:type="dxa"/>
            <w:left w:w="0" w:type="dxa"/>
            <w:bottom w:w="0" w:type="dxa"/>
            <w:right w:w="0" w:type="dxa"/>
          </w:tblCellMar>
        </w:tblPrEx>
        <w:trPr>
          <w:trHeight w:val="601" w:hRule="atLeast"/>
          <w:jc w:val="center"/>
        </w:trPr>
        <w:tc>
          <w:tcPr>
            <w:tcW w:w="2998"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ascii="宋体" w:hAnsi="宋体" w:eastAsia="宋体" w:cs="宋体"/>
                <w:color w:val="auto"/>
                <w:spacing w:val="-2"/>
                <w:kern w:val="2"/>
                <w:sz w:val="24"/>
                <w:szCs w:val="24"/>
                <w:highlight w:val="none"/>
                <w:lang w:val="en-US" w:eastAsia="zh-CN" w:bidi="ar-SA"/>
              </w:rPr>
            </w:pPr>
            <w:r>
              <w:rPr>
                <w:rFonts w:ascii="宋体" w:hAnsi="宋体" w:cs="宋体"/>
                <w:color w:val="auto"/>
                <w:spacing w:val="-2"/>
                <w:sz w:val="24"/>
                <w:szCs w:val="24"/>
                <w:highlight w:val="none"/>
              </w:rPr>
              <w:t>账    号</w:t>
            </w:r>
          </w:p>
        </w:tc>
        <w:tc>
          <w:tcPr>
            <w:tcW w:w="5297"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hint="eastAsia"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lang w:val="en-US" w:eastAsia="zh-CN"/>
              </w:rPr>
              <w:t>31180301040002929</w:t>
            </w:r>
          </w:p>
        </w:tc>
      </w:tr>
    </w:tbl>
    <w:p>
      <w:pPr>
        <w:spacing w:line="440" w:lineRule="exact"/>
        <w:ind w:firstLine="482" w:firstLineChars="200"/>
        <w:rPr>
          <w:rFonts w:ascii="宋体" w:hAnsi="宋体" w:cs="宋体"/>
          <w:color w:val="auto"/>
          <w:sz w:val="24"/>
        </w:rPr>
      </w:pPr>
      <w:r>
        <w:rPr>
          <w:rFonts w:ascii="宋体" w:hAnsi="宋体" w:cs="宋体"/>
          <w:b/>
          <w:color w:val="auto"/>
          <w:sz w:val="24"/>
        </w:rPr>
        <w:t>特别提示：</w:t>
      </w:r>
      <w:r>
        <w:rPr>
          <w:rFonts w:ascii="宋体" w:hAnsi="宋体" w:cs="宋体"/>
          <w:color w:val="auto"/>
          <w:sz w:val="24"/>
        </w:rPr>
        <w:t>各供应商在银行转账（电汇）时，须充分考虑银行转账（电汇）的时间差风险，如同城转账、异地转账或汇款、跨行转账或电汇的时间要求。</w:t>
      </w:r>
    </w:p>
    <w:p>
      <w:pPr>
        <w:spacing w:line="440" w:lineRule="exact"/>
        <w:ind w:firstLine="480" w:firstLineChars="200"/>
        <w:rPr>
          <w:rFonts w:ascii="宋体" w:hAnsi="宋体" w:cs="宋体"/>
          <w:color w:val="auto"/>
          <w:sz w:val="24"/>
        </w:rPr>
      </w:pPr>
      <w:r>
        <w:rPr>
          <w:rFonts w:ascii="宋体" w:hAnsi="宋体" w:cs="宋体"/>
          <w:color w:val="auto"/>
          <w:sz w:val="24"/>
        </w:rPr>
        <w:t>（二）保证金退还方式</w:t>
      </w:r>
    </w:p>
    <w:p>
      <w:pPr>
        <w:spacing w:line="440" w:lineRule="exact"/>
        <w:ind w:firstLine="480" w:firstLineChars="200"/>
        <w:rPr>
          <w:rFonts w:ascii="宋体" w:hAnsi="宋体" w:cs="宋体"/>
          <w:color w:val="auto"/>
          <w:sz w:val="24"/>
        </w:rPr>
      </w:pPr>
      <w:r>
        <w:rPr>
          <w:rFonts w:ascii="宋体" w:hAnsi="宋体" w:cs="宋体"/>
          <w:color w:val="auto"/>
          <w:sz w:val="24"/>
        </w:rPr>
        <w:t>1.未成交供应商的保证金，在成交通知书发放</w:t>
      </w:r>
      <w:r>
        <w:rPr>
          <w:rFonts w:hint="eastAsia" w:ascii="宋体" w:hAnsi="宋体" w:cs="宋体"/>
          <w:color w:val="auto"/>
          <w:sz w:val="24"/>
        </w:rPr>
        <w:t>之日起</w:t>
      </w:r>
      <w:r>
        <w:rPr>
          <w:rFonts w:ascii="宋体" w:hAnsi="宋体" w:cs="宋体"/>
          <w:color w:val="auto"/>
          <w:sz w:val="24"/>
        </w:rPr>
        <w:t>，</w:t>
      </w:r>
      <w:r>
        <w:rPr>
          <w:rFonts w:hint="eastAsia" w:ascii="宋体" w:hAnsi="宋体" w:cs="宋体"/>
          <w:color w:val="auto"/>
          <w:sz w:val="24"/>
          <w:lang w:val="en-US" w:eastAsia="zh-CN"/>
        </w:rPr>
        <w:t>采购人</w:t>
      </w:r>
      <w:r>
        <w:rPr>
          <w:rFonts w:ascii="宋体" w:hAnsi="宋体" w:cs="宋体"/>
          <w:color w:val="auto"/>
          <w:sz w:val="24"/>
        </w:rPr>
        <w:t>在五个工作日内按来款渠道直接退还。</w:t>
      </w:r>
    </w:p>
    <w:p>
      <w:pPr>
        <w:spacing w:line="440" w:lineRule="exact"/>
        <w:ind w:firstLine="480" w:firstLineChars="200"/>
        <w:rPr>
          <w:rFonts w:ascii="宋体" w:hAnsi="宋体" w:cs="宋体"/>
          <w:color w:val="auto"/>
          <w:sz w:val="24"/>
        </w:rPr>
      </w:pPr>
      <w:r>
        <w:rPr>
          <w:rFonts w:ascii="宋体" w:hAnsi="宋体" w:cs="宋体"/>
          <w:color w:val="auto"/>
          <w:sz w:val="24"/>
        </w:rPr>
        <w:t>2.成交供应商的保证金，在成交供应商与采购人签订合同</w:t>
      </w:r>
      <w:r>
        <w:rPr>
          <w:rFonts w:hint="eastAsia" w:ascii="宋体" w:hAnsi="宋体" w:cs="宋体"/>
          <w:color w:val="auto"/>
          <w:sz w:val="24"/>
        </w:rPr>
        <w:t>之日起</w:t>
      </w:r>
      <w:r>
        <w:rPr>
          <w:rFonts w:ascii="宋体" w:hAnsi="宋体" w:cs="宋体"/>
          <w:color w:val="auto"/>
          <w:sz w:val="24"/>
        </w:rPr>
        <w:t>，</w:t>
      </w:r>
      <w:r>
        <w:rPr>
          <w:rFonts w:hint="eastAsia" w:ascii="宋体" w:hAnsi="宋体" w:cs="宋体"/>
          <w:color w:val="auto"/>
          <w:sz w:val="24"/>
          <w:lang w:val="en-US" w:eastAsia="zh-CN"/>
        </w:rPr>
        <w:t>采购人</w:t>
      </w:r>
      <w:r>
        <w:rPr>
          <w:rFonts w:ascii="宋体" w:hAnsi="宋体" w:cs="宋体"/>
          <w:color w:val="auto"/>
          <w:sz w:val="24"/>
        </w:rPr>
        <w:t>在五个工作日内按资金来款渠道直接退还。</w:t>
      </w:r>
    </w:p>
    <w:p>
      <w:pPr>
        <w:keepNext/>
        <w:keepLines/>
        <w:spacing w:line="440" w:lineRule="exact"/>
        <w:ind w:firstLine="482" w:firstLineChars="200"/>
        <w:outlineLvl w:val="1"/>
        <w:rPr>
          <w:rFonts w:hint="eastAsia" w:ascii="宋体" w:hAnsi="宋体" w:cs="宋体"/>
          <w:b/>
          <w:sz w:val="24"/>
          <w:lang w:val="en-US" w:eastAsia="zh-CN"/>
        </w:rPr>
      </w:pPr>
      <w:bookmarkStart w:id="13" w:name="_Toc30927"/>
      <w:bookmarkStart w:id="14" w:name="_Toc12856"/>
      <w:r>
        <w:rPr>
          <w:rFonts w:hint="eastAsia" w:ascii="宋体" w:hAnsi="宋体" w:cs="宋体"/>
          <w:b/>
          <w:sz w:val="24"/>
          <w:lang w:val="en-US" w:eastAsia="zh-CN"/>
        </w:rPr>
        <w:t>六、履约保证金</w:t>
      </w:r>
    </w:p>
    <w:p>
      <w:pPr>
        <w:spacing w:line="440" w:lineRule="exact"/>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履约保证金为成交价的</w:t>
      </w:r>
      <w:r>
        <w:rPr>
          <w:rFonts w:hint="eastAsia" w:ascii="宋体" w:hAnsi="宋体" w:eastAsia="宋体" w:cs="宋体"/>
          <w:color w:val="auto"/>
          <w:sz w:val="24"/>
          <w:szCs w:val="22"/>
          <w:lang w:val="en-US" w:eastAsia="zh-CN"/>
        </w:rPr>
        <w:t>10</w:t>
      </w: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端午龙舟会活动结束并拆除清理相关设施设备到位</w:t>
      </w:r>
      <w:r>
        <w:rPr>
          <w:rFonts w:hint="eastAsia" w:ascii="宋体" w:hAnsi="宋体" w:eastAsia="宋体" w:cs="宋体"/>
          <w:color w:val="auto"/>
          <w:sz w:val="24"/>
          <w:szCs w:val="22"/>
        </w:rPr>
        <w:t>后</w:t>
      </w:r>
      <w:r>
        <w:rPr>
          <w:rFonts w:hint="eastAsia" w:ascii="宋体" w:hAnsi="宋体" w:eastAsia="宋体" w:cs="宋体"/>
          <w:color w:val="auto"/>
          <w:sz w:val="24"/>
          <w:szCs w:val="22"/>
          <w:lang w:val="en-US" w:eastAsia="zh-CN"/>
        </w:rPr>
        <w:t>十</w:t>
      </w:r>
      <w:r>
        <w:rPr>
          <w:rFonts w:hint="eastAsia" w:ascii="宋体" w:hAnsi="宋体" w:eastAsia="宋体" w:cs="宋体"/>
          <w:color w:val="auto"/>
          <w:sz w:val="24"/>
          <w:szCs w:val="22"/>
        </w:rPr>
        <w:t>日内一次性无息退还给成交人。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履约保证金账户：</w:t>
      </w:r>
    </w:p>
    <w:tbl>
      <w:tblPr>
        <w:tblStyle w:val="60"/>
        <w:tblW w:w="8295" w:type="dxa"/>
        <w:jc w:val="center"/>
        <w:tblInd w:w="0" w:type="dxa"/>
        <w:tblLayout w:type="fixed"/>
        <w:tblCellMar>
          <w:top w:w="0" w:type="dxa"/>
          <w:left w:w="0" w:type="dxa"/>
          <w:bottom w:w="0" w:type="dxa"/>
          <w:right w:w="0" w:type="dxa"/>
        </w:tblCellMar>
      </w:tblPr>
      <w:tblGrid>
        <w:gridCol w:w="2998"/>
        <w:gridCol w:w="5297"/>
      </w:tblGrid>
      <w:tr>
        <w:tblPrEx>
          <w:tblLayout w:type="fixed"/>
          <w:tblCellMar>
            <w:top w:w="0" w:type="dxa"/>
            <w:left w:w="0" w:type="dxa"/>
            <w:bottom w:w="0" w:type="dxa"/>
            <w:right w:w="0" w:type="dxa"/>
          </w:tblCellMar>
        </w:tblPrEx>
        <w:trPr>
          <w:trHeight w:val="601" w:hRule="atLeast"/>
          <w:jc w:val="center"/>
        </w:trPr>
        <w:tc>
          <w:tcPr>
            <w:tcW w:w="2998"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公司名称</w:t>
            </w:r>
          </w:p>
        </w:tc>
        <w:tc>
          <w:tcPr>
            <w:tcW w:w="5297"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hint="default" w:ascii="宋体" w:hAnsi="宋体" w:eastAsia="宋体" w:cs="宋体"/>
                <w:color w:val="auto"/>
                <w:spacing w:val="-2"/>
                <w:sz w:val="24"/>
                <w:szCs w:val="24"/>
                <w:highlight w:val="none"/>
                <w:lang w:val="en-US" w:eastAsia="zh-CN"/>
              </w:rPr>
            </w:pPr>
            <w:r>
              <w:rPr>
                <w:rFonts w:hint="default" w:ascii="宋体" w:hAnsi="宋体" w:eastAsia="宋体" w:cs="宋体"/>
                <w:color w:val="auto"/>
                <w:spacing w:val="-2"/>
                <w:sz w:val="24"/>
                <w:szCs w:val="24"/>
                <w:highlight w:val="none"/>
                <w:lang w:val="en-US" w:eastAsia="zh-CN"/>
              </w:rPr>
              <w:t>重庆市安居古城迎龙游乐有限公司</w:t>
            </w:r>
          </w:p>
        </w:tc>
      </w:tr>
      <w:tr>
        <w:tblPrEx>
          <w:tblLayout w:type="fixed"/>
          <w:tblCellMar>
            <w:top w:w="0" w:type="dxa"/>
            <w:left w:w="0" w:type="dxa"/>
            <w:bottom w:w="0" w:type="dxa"/>
            <w:right w:w="0" w:type="dxa"/>
          </w:tblCellMar>
        </w:tblPrEx>
        <w:trPr>
          <w:trHeight w:val="601" w:hRule="atLeast"/>
          <w:jc w:val="center"/>
        </w:trPr>
        <w:tc>
          <w:tcPr>
            <w:tcW w:w="2998"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ascii="宋体" w:hAnsi="宋体" w:eastAsia="宋体" w:cs="宋体"/>
                <w:color w:val="auto"/>
                <w:spacing w:val="-2"/>
                <w:kern w:val="2"/>
                <w:sz w:val="24"/>
                <w:szCs w:val="24"/>
                <w:highlight w:val="none"/>
                <w:lang w:val="en-US" w:eastAsia="zh-CN" w:bidi="ar-SA"/>
              </w:rPr>
            </w:pPr>
            <w:r>
              <w:rPr>
                <w:rFonts w:ascii="宋体" w:hAnsi="宋体" w:cs="宋体"/>
                <w:color w:val="auto"/>
                <w:spacing w:val="-2"/>
                <w:sz w:val="24"/>
                <w:szCs w:val="24"/>
                <w:highlight w:val="none"/>
              </w:rPr>
              <w:t>开户行</w:t>
            </w:r>
          </w:p>
        </w:tc>
        <w:tc>
          <w:tcPr>
            <w:tcW w:w="5297"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hint="default"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lang w:val="en-US" w:eastAsia="zh-CN"/>
              </w:rPr>
              <w:t>中国农业银行股份有限公司重庆铜梁安居支行</w:t>
            </w:r>
          </w:p>
        </w:tc>
      </w:tr>
      <w:tr>
        <w:tblPrEx>
          <w:tblLayout w:type="fixed"/>
          <w:tblCellMar>
            <w:top w:w="0" w:type="dxa"/>
            <w:left w:w="0" w:type="dxa"/>
            <w:bottom w:w="0" w:type="dxa"/>
            <w:right w:w="0" w:type="dxa"/>
          </w:tblCellMar>
        </w:tblPrEx>
        <w:trPr>
          <w:trHeight w:val="601" w:hRule="atLeast"/>
          <w:jc w:val="center"/>
        </w:trPr>
        <w:tc>
          <w:tcPr>
            <w:tcW w:w="2998"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ascii="宋体" w:hAnsi="宋体" w:eastAsia="宋体" w:cs="宋体"/>
                <w:color w:val="auto"/>
                <w:spacing w:val="-2"/>
                <w:kern w:val="2"/>
                <w:sz w:val="24"/>
                <w:szCs w:val="24"/>
                <w:highlight w:val="none"/>
                <w:lang w:val="en-US" w:eastAsia="zh-CN" w:bidi="ar-SA"/>
              </w:rPr>
            </w:pPr>
            <w:r>
              <w:rPr>
                <w:rFonts w:ascii="宋体" w:hAnsi="宋体" w:cs="宋体"/>
                <w:color w:val="auto"/>
                <w:spacing w:val="-2"/>
                <w:sz w:val="24"/>
                <w:szCs w:val="24"/>
                <w:highlight w:val="none"/>
              </w:rPr>
              <w:t>账    号</w:t>
            </w:r>
          </w:p>
        </w:tc>
        <w:tc>
          <w:tcPr>
            <w:tcW w:w="5297" w:type="dxa"/>
            <w:tcBorders>
              <w:top w:val="single" w:color="696969" w:sz="4" w:space="0"/>
              <w:left w:val="single" w:color="696969" w:sz="4" w:space="0"/>
              <w:bottom w:val="single" w:color="696969" w:sz="4" w:space="0"/>
              <w:right w:val="single" w:color="696969" w:sz="4" w:space="0"/>
            </w:tcBorders>
            <w:shd w:val="clear" w:color="auto" w:fill="auto"/>
            <w:vAlign w:val="center"/>
          </w:tcPr>
          <w:p>
            <w:pPr>
              <w:spacing w:line="232" w:lineRule="auto"/>
              <w:jc w:val="center"/>
              <w:rPr>
                <w:rFonts w:hint="eastAsia"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lang w:val="en-US" w:eastAsia="zh-CN"/>
              </w:rPr>
              <w:t>31180301040002929</w:t>
            </w:r>
          </w:p>
        </w:tc>
      </w:tr>
    </w:tbl>
    <w:p>
      <w:pPr>
        <w:pStyle w:val="247"/>
        <w:rPr>
          <w:rFonts w:ascii="宋体" w:hAnsi="宋体" w:cs="宋体"/>
          <w:b/>
          <w:color w:val="auto"/>
          <w:sz w:val="24"/>
        </w:rPr>
      </w:pPr>
    </w:p>
    <w:p>
      <w:pPr>
        <w:pStyle w:val="247"/>
        <w:ind w:firstLine="482" w:firstLineChars="200"/>
        <w:rPr>
          <w:rFonts w:hint="default" w:eastAsia="宋体"/>
          <w:lang w:val="en-US" w:eastAsia="zh-CN"/>
        </w:rPr>
      </w:pPr>
      <w:r>
        <w:rPr>
          <w:rFonts w:ascii="宋体" w:hAnsi="宋体" w:cs="宋体"/>
          <w:b/>
          <w:color w:val="auto"/>
          <w:sz w:val="24"/>
        </w:rPr>
        <w:t>特别提示：</w:t>
      </w:r>
      <w:r>
        <w:rPr>
          <w:rFonts w:hint="eastAsia" w:ascii="宋体" w:hAnsi="宋体" w:cs="宋体"/>
          <w:b/>
          <w:color w:val="auto"/>
          <w:sz w:val="24"/>
          <w:lang w:val="en-US" w:eastAsia="zh-CN"/>
        </w:rPr>
        <w:t>款项备注项目名称履约金。</w:t>
      </w:r>
    </w:p>
    <w:p>
      <w:pPr>
        <w:keepNext/>
        <w:keepLines/>
        <w:spacing w:line="440" w:lineRule="exact"/>
        <w:ind w:firstLine="482" w:firstLineChars="200"/>
        <w:outlineLvl w:val="1"/>
        <w:rPr>
          <w:rFonts w:hint="eastAsia" w:ascii="宋体" w:hAnsi="宋体" w:cs="宋体"/>
          <w:b/>
          <w:sz w:val="24"/>
          <w:lang w:val="en-US" w:eastAsia="zh-CN"/>
        </w:rPr>
      </w:pPr>
    </w:p>
    <w:p>
      <w:pPr>
        <w:spacing w:line="440" w:lineRule="exact"/>
        <w:ind w:firstLine="482" w:firstLineChars="200"/>
        <w:rPr>
          <w:rFonts w:ascii="宋体" w:hAnsi="宋体" w:cs="宋体"/>
          <w:b/>
          <w:sz w:val="24"/>
        </w:rPr>
      </w:pPr>
      <w:r>
        <w:rPr>
          <w:rFonts w:hint="eastAsia" w:ascii="宋体" w:hAnsi="宋体" w:cs="宋体"/>
          <w:b/>
          <w:sz w:val="24"/>
          <w:lang w:val="en-US" w:eastAsia="zh-CN"/>
        </w:rPr>
        <w:t>七</w:t>
      </w:r>
      <w:r>
        <w:rPr>
          <w:rFonts w:ascii="宋体" w:hAnsi="宋体" w:cs="宋体"/>
          <w:b/>
          <w:sz w:val="24"/>
        </w:rPr>
        <w:t>、</w:t>
      </w:r>
      <w:bookmarkEnd w:id="13"/>
      <w:bookmarkEnd w:id="14"/>
      <w:bookmarkStart w:id="15" w:name="_Toc16749"/>
      <w:bookmarkStart w:id="16" w:name="_Toc370"/>
      <w:r>
        <w:rPr>
          <w:rFonts w:ascii="宋体" w:hAnsi="宋体" w:cs="宋体"/>
          <w:b/>
          <w:sz w:val="24"/>
        </w:rPr>
        <w:t>其它有关规定</w:t>
      </w:r>
      <w:bookmarkEnd w:id="15"/>
      <w:bookmarkEnd w:id="16"/>
    </w:p>
    <w:p>
      <w:pPr>
        <w:spacing w:line="440" w:lineRule="exact"/>
        <w:ind w:firstLine="480" w:firstLineChars="200"/>
        <w:rPr>
          <w:rFonts w:ascii="宋体" w:hAnsi="宋体" w:cs="宋体"/>
          <w:sz w:val="24"/>
        </w:rPr>
      </w:pPr>
      <w:r>
        <w:rPr>
          <w:rFonts w:ascii="宋体" w:hAnsi="宋体" w:cs="宋体"/>
          <w:sz w:val="24"/>
        </w:rPr>
        <w:t>（一）单位负责人为同一人或者存在直接控股、管理关系的不同供应商，不得参加同一合同项（分包）下的政府采购活动，否则均为无效响应。</w:t>
      </w:r>
    </w:p>
    <w:p>
      <w:pPr>
        <w:spacing w:line="440" w:lineRule="exact"/>
        <w:ind w:firstLine="480" w:firstLineChars="200"/>
        <w:rPr>
          <w:rFonts w:ascii="宋体" w:hAnsi="宋体" w:cs="宋体"/>
          <w:sz w:val="24"/>
        </w:rPr>
      </w:pPr>
      <w:r>
        <w:rPr>
          <w:rFonts w:ascii="宋体" w:hAnsi="宋体" w:cs="宋体"/>
          <w:sz w:val="24"/>
        </w:rPr>
        <w:t>（二）为采购项目提供整体设计、规范编制或者项目管理、监理、检测等服务的供应商，不得再参加该采购项目的其他采购活动。</w:t>
      </w:r>
    </w:p>
    <w:p>
      <w:pPr>
        <w:spacing w:line="440" w:lineRule="exact"/>
        <w:ind w:firstLine="480" w:firstLineChars="200"/>
        <w:rPr>
          <w:rFonts w:ascii="宋体" w:hAnsi="宋体" w:cs="宋体"/>
          <w:sz w:val="24"/>
        </w:rPr>
      </w:pPr>
      <w:r>
        <w:rPr>
          <w:rFonts w:ascii="宋体" w:hAnsi="宋体" w:cs="宋体"/>
          <w:sz w:val="24"/>
        </w:rPr>
        <w:t>（三）本项目的补遗文件（如果有）一律在</w:t>
      </w:r>
      <w:r>
        <w:rPr>
          <w:rFonts w:hint="eastAsia" w:ascii="宋体" w:hAnsi="宋体" w:cs="宋体"/>
          <w:sz w:val="24"/>
          <w:lang w:eastAsia="zh-CN"/>
        </w:rPr>
        <w:t>安居古城官网（http://www.anjugc.cn/index.htm）</w:t>
      </w:r>
      <w:r>
        <w:rPr>
          <w:rFonts w:ascii="宋体" w:hAnsi="宋体" w:cs="宋体"/>
          <w:sz w:val="24"/>
        </w:rPr>
        <w:t>上发布，请各供应商注意下载；无论供应商下载与否，均视同供应商已知晓本项目补遗文件（如果有）的内容。</w:t>
      </w:r>
    </w:p>
    <w:p>
      <w:pPr>
        <w:spacing w:line="440" w:lineRule="exact"/>
        <w:ind w:firstLine="480" w:firstLineChars="200"/>
        <w:rPr>
          <w:rFonts w:ascii="宋体" w:hAnsi="宋体" w:cs="宋体"/>
          <w:sz w:val="24"/>
        </w:rPr>
      </w:pPr>
      <w:r>
        <w:rPr>
          <w:rFonts w:ascii="宋体" w:hAnsi="宋体" w:cs="宋体"/>
          <w:sz w:val="24"/>
        </w:rPr>
        <w:t>（四）超过响应文件截止时间递交的响应文件，恕不接收。</w:t>
      </w:r>
    </w:p>
    <w:p>
      <w:pPr>
        <w:spacing w:line="440" w:lineRule="exact"/>
        <w:ind w:firstLine="480" w:firstLineChars="200"/>
        <w:rPr>
          <w:rFonts w:ascii="宋体" w:hAnsi="宋体" w:cs="宋体"/>
          <w:sz w:val="24"/>
        </w:rPr>
      </w:pPr>
      <w:r>
        <w:rPr>
          <w:rFonts w:ascii="宋体" w:hAnsi="宋体" w:cs="宋体"/>
          <w:sz w:val="24"/>
        </w:rPr>
        <w:t>（五）磋商费用：无论磋商结果如何，供应商参与本项目磋商的所有费用均应由供应商自行承担。</w:t>
      </w:r>
    </w:p>
    <w:p>
      <w:pPr>
        <w:spacing w:line="440" w:lineRule="exact"/>
        <w:ind w:firstLine="480" w:firstLineChars="200"/>
        <w:rPr>
          <w:rFonts w:ascii="宋体" w:hAnsi="宋体" w:cs="宋体"/>
          <w:b/>
          <w:sz w:val="24"/>
        </w:rPr>
      </w:pPr>
      <w:r>
        <w:rPr>
          <w:rFonts w:ascii="宋体" w:hAnsi="宋体" w:cs="宋体"/>
          <w:b w:val="0"/>
          <w:bCs/>
          <w:sz w:val="24"/>
        </w:rPr>
        <w:t>（六）本项目不接受联合体参与磋商。</w:t>
      </w:r>
    </w:p>
    <w:p>
      <w:pPr>
        <w:spacing w:line="440" w:lineRule="exact"/>
        <w:ind w:firstLine="480" w:firstLineChars="200"/>
        <w:rPr>
          <w:rFonts w:ascii="宋体" w:hAnsi="宋体" w:cs="宋体"/>
          <w:sz w:val="24"/>
        </w:rPr>
      </w:pPr>
      <w:r>
        <w:rPr>
          <w:rFonts w:ascii="宋体" w:hAnsi="宋体" w:cs="宋体"/>
          <w:sz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keepNext/>
        <w:keepLines/>
        <w:spacing w:line="440" w:lineRule="exact"/>
        <w:ind w:firstLine="482" w:firstLineChars="200"/>
        <w:outlineLvl w:val="1"/>
        <w:rPr>
          <w:rFonts w:ascii="宋体" w:hAnsi="宋体" w:cs="宋体"/>
          <w:b/>
          <w:sz w:val="24"/>
        </w:rPr>
      </w:pPr>
      <w:bookmarkStart w:id="17" w:name="_Toc16785"/>
      <w:bookmarkStart w:id="18" w:name="_Toc20165"/>
      <w:r>
        <w:rPr>
          <w:rFonts w:hint="eastAsia" w:ascii="宋体" w:hAnsi="宋体" w:cs="宋体"/>
          <w:b/>
          <w:sz w:val="24"/>
          <w:lang w:val="en-US" w:eastAsia="zh-CN"/>
        </w:rPr>
        <w:t>八</w:t>
      </w:r>
      <w:r>
        <w:rPr>
          <w:rFonts w:ascii="宋体" w:hAnsi="宋体" w:cs="宋体"/>
          <w:b/>
          <w:sz w:val="24"/>
        </w:rPr>
        <w:t>、联系方式</w:t>
      </w:r>
      <w:bookmarkEnd w:id="17"/>
      <w:bookmarkEnd w:id="18"/>
    </w:p>
    <w:p>
      <w:pPr>
        <w:snapToGrid w:val="0"/>
        <w:spacing w:line="400" w:lineRule="exact"/>
        <w:ind w:firstLine="360" w:firstLineChars="150"/>
        <w:rPr>
          <w:rFonts w:ascii="宋体" w:hAnsi="宋体" w:cs="宋体"/>
          <w:color w:val="000000"/>
          <w:sz w:val="24"/>
          <w:szCs w:val="24"/>
        </w:rPr>
      </w:pPr>
      <w:r>
        <w:rPr>
          <w:rFonts w:ascii="宋体" w:hAnsi="宋体" w:cs="宋体"/>
          <w:sz w:val="24"/>
        </w:rPr>
        <w:t>（一）</w:t>
      </w:r>
      <w:r>
        <w:rPr>
          <w:rFonts w:hint="eastAsia" w:ascii="宋体" w:hAnsi="宋体" w:cs="宋体"/>
          <w:color w:val="000000"/>
          <w:sz w:val="24"/>
          <w:szCs w:val="24"/>
        </w:rPr>
        <w:t>采购人：</w:t>
      </w:r>
      <w:r>
        <w:rPr>
          <w:rFonts w:hint="eastAsia" w:ascii="宋体" w:hAnsi="宋体" w:eastAsia="宋体" w:cs="宋体"/>
          <w:color w:val="000000"/>
          <w:sz w:val="24"/>
          <w:szCs w:val="24"/>
          <w:lang w:val="en-US" w:eastAsia="zh-CN"/>
        </w:rPr>
        <w:t>重庆市安居古城迎龙游乐有限公司</w:t>
      </w:r>
    </w:p>
    <w:p>
      <w:pPr>
        <w:snapToGrid w:val="0"/>
        <w:spacing w:line="400" w:lineRule="exact"/>
        <w:ind w:firstLine="360" w:firstLineChars="150"/>
        <w:rPr>
          <w:rFonts w:ascii="宋体" w:hAnsi="宋体" w:cs="宋体"/>
          <w:color w:val="000000"/>
          <w:sz w:val="24"/>
          <w:szCs w:val="24"/>
        </w:rPr>
      </w:pPr>
      <w:r>
        <w:rPr>
          <w:rFonts w:hint="eastAsia" w:ascii="宋体" w:hAnsi="宋体" w:cs="宋体"/>
          <w:color w:val="000000"/>
          <w:sz w:val="24"/>
          <w:szCs w:val="24"/>
        </w:rPr>
        <w:t>联系人：</w:t>
      </w:r>
      <w:r>
        <w:rPr>
          <w:rFonts w:hint="eastAsia" w:ascii="宋体" w:hAnsi="宋体" w:cs="宋体"/>
          <w:color w:val="000000"/>
          <w:sz w:val="24"/>
          <w:szCs w:val="24"/>
          <w:lang w:val="en-US" w:eastAsia="zh-CN"/>
        </w:rPr>
        <w:t>王</w:t>
      </w:r>
      <w:r>
        <w:rPr>
          <w:rFonts w:hint="eastAsia" w:ascii="宋体" w:hAnsi="宋体" w:cs="宋体"/>
          <w:color w:val="000000"/>
          <w:sz w:val="24"/>
          <w:szCs w:val="24"/>
        </w:rPr>
        <w:t>老师</w:t>
      </w:r>
    </w:p>
    <w:p>
      <w:pPr>
        <w:snapToGrid w:val="0"/>
        <w:spacing w:line="400" w:lineRule="exact"/>
        <w:ind w:firstLine="360" w:firstLineChars="150"/>
        <w:rPr>
          <w:rFonts w:hint="default" w:ascii="宋体" w:hAnsi="宋体" w:eastAsia="宋体" w:cs="宋体"/>
          <w:color w:val="auto"/>
          <w:sz w:val="24"/>
          <w:szCs w:val="24"/>
          <w:lang w:val="en-US" w:eastAsia="zh-CN"/>
        </w:rPr>
      </w:pPr>
      <w:r>
        <w:rPr>
          <w:rFonts w:hint="eastAsia" w:ascii="宋体" w:hAnsi="宋体" w:cs="宋体"/>
          <w:color w:val="000000"/>
          <w:sz w:val="24"/>
          <w:szCs w:val="24"/>
        </w:rPr>
        <w:t>电  话</w:t>
      </w:r>
      <w:r>
        <w:rPr>
          <w:rFonts w:hint="eastAsia" w:ascii="宋体" w:hAnsi="宋体" w:cs="宋体"/>
          <w:color w:val="auto"/>
          <w:sz w:val="24"/>
          <w:szCs w:val="24"/>
        </w:rPr>
        <w:t>：</w:t>
      </w:r>
      <w:r>
        <w:rPr>
          <w:rFonts w:hint="eastAsia" w:ascii="宋体" w:hAnsi="宋体" w:cs="宋体"/>
          <w:color w:val="auto"/>
          <w:sz w:val="24"/>
          <w:szCs w:val="24"/>
          <w:lang w:val="en-US" w:eastAsia="zh-CN"/>
        </w:rPr>
        <w:t>18523285328</w:t>
      </w:r>
    </w:p>
    <w:p>
      <w:pPr>
        <w:snapToGrid w:val="0"/>
        <w:spacing w:line="400" w:lineRule="exact"/>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rPr>
        <w:t>地  址：重庆市</w:t>
      </w:r>
      <w:r>
        <w:rPr>
          <w:rFonts w:hint="eastAsia" w:ascii="宋体" w:hAnsi="宋体" w:cs="宋体"/>
          <w:color w:val="auto"/>
          <w:sz w:val="24"/>
          <w:szCs w:val="24"/>
          <w:lang w:val="en-US" w:eastAsia="zh-CN"/>
        </w:rPr>
        <w:t>铜梁</w:t>
      </w:r>
      <w:r>
        <w:rPr>
          <w:rFonts w:hint="eastAsia" w:ascii="宋体" w:hAnsi="宋体" w:cs="宋体"/>
          <w:color w:val="auto"/>
          <w:sz w:val="24"/>
          <w:szCs w:val="24"/>
        </w:rPr>
        <w:t>区</w:t>
      </w:r>
      <w:r>
        <w:rPr>
          <w:rFonts w:hint="eastAsia" w:ascii="宋体" w:hAnsi="宋体" w:cs="宋体"/>
          <w:color w:val="auto"/>
          <w:sz w:val="24"/>
          <w:szCs w:val="24"/>
          <w:lang w:val="en-US" w:eastAsia="zh-CN"/>
        </w:rPr>
        <w:t xml:space="preserve">安居镇迎龙公司 </w:t>
      </w:r>
    </w:p>
    <w:p>
      <w:pPr>
        <w:spacing w:line="440" w:lineRule="exact"/>
        <w:ind w:firstLine="480" w:firstLineChars="200"/>
        <w:rPr>
          <w:rFonts w:hint="eastAsia" w:ascii="宋体" w:hAnsi="宋体" w:eastAsia="宋体" w:cs="宋体"/>
          <w:b/>
          <w:sz w:val="24"/>
          <w:lang w:eastAsia="zh-CN"/>
        </w:rPr>
      </w:pPr>
      <w:r>
        <w:rPr>
          <w:rFonts w:ascii="宋体" w:hAnsi="宋体" w:cs="宋体"/>
          <w:color w:val="auto"/>
          <w:sz w:val="24"/>
        </w:rPr>
        <w:t>（二）采购代理机构：</w:t>
      </w:r>
      <w:r>
        <w:rPr>
          <w:rFonts w:hint="eastAsia" w:ascii="宋体" w:hAnsi="宋体" w:cs="宋体"/>
          <w:color w:val="auto"/>
          <w:sz w:val="24"/>
          <w:lang w:eastAsia="zh-CN"/>
        </w:rPr>
        <w:t>万隆建设工程咨询集团</w:t>
      </w:r>
      <w:r>
        <w:rPr>
          <w:rFonts w:hint="eastAsia" w:ascii="宋体" w:hAnsi="宋体" w:cs="宋体"/>
          <w:sz w:val="24"/>
          <w:lang w:eastAsia="zh-CN"/>
        </w:rPr>
        <w:t>有限公司</w:t>
      </w:r>
    </w:p>
    <w:p>
      <w:pPr>
        <w:snapToGrid w:val="0"/>
        <w:spacing w:line="400" w:lineRule="exact"/>
        <w:ind w:firstLine="360" w:firstLineChars="150"/>
        <w:rPr>
          <w:rFonts w:hint="default" w:ascii="宋体" w:hAnsi="宋体" w:eastAsia="宋体" w:cs="宋体"/>
          <w:color w:val="000000"/>
          <w:sz w:val="24"/>
          <w:szCs w:val="24"/>
          <w:lang w:val="en-US" w:eastAsia="zh-CN"/>
        </w:rPr>
      </w:pPr>
      <w:r>
        <w:rPr>
          <w:rFonts w:hint="eastAsia" w:ascii="宋体" w:hAnsi="宋体" w:cs="宋体"/>
          <w:color w:val="000000"/>
          <w:sz w:val="24"/>
          <w:szCs w:val="24"/>
        </w:rPr>
        <w:t>联系人：</w:t>
      </w:r>
      <w:r>
        <w:rPr>
          <w:rFonts w:hint="eastAsia" w:ascii="宋体" w:hAnsi="宋体" w:cs="宋体"/>
          <w:color w:val="000000"/>
          <w:sz w:val="24"/>
          <w:szCs w:val="24"/>
          <w:lang w:val="en-US" w:eastAsia="zh-CN"/>
        </w:rPr>
        <w:t>李先生</w:t>
      </w:r>
    </w:p>
    <w:p>
      <w:pPr>
        <w:snapToGrid w:val="0"/>
        <w:spacing w:line="400" w:lineRule="exact"/>
        <w:ind w:firstLine="360" w:firstLineChars="150"/>
        <w:rPr>
          <w:rFonts w:hint="default" w:ascii="宋体" w:hAnsi="宋体" w:eastAsia="宋体" w:cs="宋体"/>
          <w:color w:val="000000"/>
          <w:sz w:val="24"/>
          <w:szCs w:val="24"/>
          <w:lang w:val="en-US" w:eastAsia="zh-CN"/>
        </w:rPr>
      </w:pPr>
      <w:r>
        <w:rPr>
          <w:rFonts w:hint="eastAsia" w:ascii="宋体" w:hAnsi="宋体" w:cs="宋体"/>
          <w:color w:val="000000"/>
          <w:sz w:val="24"/>
          <w:szCs w:val="24"/>
        </w:rPr>
        <w:t>电话：</w:t>
      </w:r>
      <w:r>
        <w:rPr>
          <w:rFonts w:hint="eastAsia" w:ascii="宋体" w:hAnsi="宋体" w:cs="宋体"/>
          <w:color w:val="000000"/>
          <w:sz w:val="24"/>
          <w:szCs w:val="24"/>
          <w:lang w:val="en-US" w:eastAsia="zh-CN"/>
        </w:rPr>
        <w:t>18696594045</w:t>
      </w:r>
    </w:p>
    <w:p>
      <w:pPr>
        <w:snapToGrid w:val="0"/>
        <w:spacing w:line="400" w:lineRule="exact"/>
        <w:ind w:firstLine="360" w:firstLineChars="150"/>
        <w:rPr>
          <w:rFonts w:hint="default" w:ascii="仿宋_GB2312" w:hAnsi="仿宋_GB2312" w:eastAsia="宋体" w:cs="仿宋_GB2312"/>
          <w:sz w:val="32"/>
          <w:lang w:val="en-US" w:eastAsia="zh-CN"/>
        </w:rPr>
      </w:pPr>
      <w:r>
        <w:rPr>
          <w:rFonts w:hint="eastAsia" w:ascii="宋体" w:hAnsi="宋体" w:cs="宋体"/>
          <w:color w:val="000000"/>
          <w:sz w:val="24"/>
          <w:szCs w:val="24"/>
        </w:rPr>
        <w:t>地址：重庆市</w:t>
      </w:r>
      <w:r>
        <w:rPr>
          <w:rFonts w:hint="eastAsia" w:ascii="宋体" w:hAnsi="宋体" w:cs="宋体"/>
          <w:color w:val="000000"/>
          <w:sz w:val="24"/>
          <w:szCs w:val="24"/>
          <w:lang w:val="en-US" w:eastAsia="zh-CN"/>
        </w:rPr>
        <w:t>渝中区中山三路157号25层</w:t>
      </w:r>
    </w:p>
    <w:p>
      <w:pPr>
        <w:keepNext/>
        <w:keepLines/>
        <w:spacing w:line="440" w:lineRule="exact"/>
        <w:ind w:firstLine="482" w:firstLineChars="200"/>
        <w:outlineLvl w:val="1"/>
        <w:rPr>
          <w:rFonts w:ascii="宋体" w:hAnsi="宋体" w:cs="宋体"/>
          <w:b/>
          <w:sz w:val="24"/>
        </w:rPr>
      </w:pPr>
      <w:bookmarkStart w:id="19" w:name="_Toc100232871"/>
      <w:r>
        <w:rPr>
          <w:rFonts w:hint="eastAsia" w:ascii="宋体" w:hAnsi="宋体" w:cs="宋体"/>
          <w:b/>
          <w:sz w:val="24"/>
          <w:lang w:val="en-US" w:eastAsia="zh-CN"/>
        </w:rPr>
        <w:t>九</w:t>
      </w:r>
      <w:r>
        <w:rPr>
          <w:rFonts w:hint="eastAsia" w:ascii="宋体" w:hAnsi="宋体" w:cs="宋体"/>
          <w:b/>
          <w:sz w:val="24"/>
        </w:rPr>
        <w:t>、其他</w:t>
      </w:r>
      <w:bookmarkEnd w:id="19"/>
    </w:p>
    <w:p>
      <w:pPr>
        <w:spacing w:line="440" w:lineRule="exact"/>
        <w:ind w:firstLine="480" w:firstLineChars="200"/>
        <w:rPr>
          <w:rFonts w:ascii="宋体" w:hAnsi="宋体" w:cs="宋体"/>
          <w:sz w:val="24"/>
        </w:rPr>
      </w:pPr>
      <w:r>
        <w:rPr>
          <w:rFonts w:hint="eastAsia" w:ascii="宋体" w:hAnsi="宋体" w:cs="宋体"/>
          <w:sz w:val="24"/>
        </w:rPr>
        <w:t>疫情防控期间，须遵守所在地疫情防控要求，按照其规定执行。</w:t>
      </w:r>
    </w:p>
    <w:p>
      <w:pPr>
        <w:pStyle w:val="2"/>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pPr>
        <w:keepNext/>
        <w:keepLines/>
        <w:spacing w:line="440" w:lineRule="exact"/>
        <w:ind w:left="0" w:leftChars="0" w:firstLine="0" w:firstLineChars="0"/>
        <w:jc w:val="center"/>
        <w:outlineLvl w:val="0"/>
        <w:rPr>
          <w:rFonts w:ascii="宋体" w:hAnsi="宋体" w:cs="宋体"/>
          <w:sz w:val="30"/>
        </w:rPr>
      </w:pPr>
      <w:bookmarkStart w:id="20" w:name="_Toc9676"/>
      <w:bookmarkStart w:id="21" w:name="_Toc31880"/>
      <w:bookmarkStart w:id="22" w:name="_Toc19165"/>
      <w:r>
        <w:rPr>
          <w:rFonts w:ascii="宋体" w:hAnsi="宋体" w:cs="宋体"/>
          <w:sz w:val="36"/>
        </w:rPr>
        <w:t>第二篇项目服务需求</w:t>
      </w:r>
      <w:bookmarkEnd w:id="20"/>
      <w:bookmarkEnd w:id="21"/>
      <w:bookmarkEnd w:id="22"/>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cs="宋体"/>
          <w:b/>
          <w:sz w:val="24"/>
        </w:rPr>
      </w:pPr>
      <w:bookmarkStart w:id="23" w:name="_Toc4029"/>
      <w:bookmarkStart w:id="24" w:name="_Toc1395"/>
      <w:bookmarkStart w:id="25" w:name="_Toc1980"/>
      <w:bookmarkStart w:id="26" w:name="_Toc30308"/>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pPr>
      <w:r>
        <w:rPr>
          <w:rFonts w:hint="eastAsia" w:ascii="宋体" w:hAnsi="宋体" w:cs="宋体"/>
          <w:b/>
          <w:sz w:val="24"/>
        </w:rPr>
        <w:t>一、</w:t>
      </w:r>
      <w:r>
        <w:rPr>
          <w:rFonts w:hint="eastAsia" w:ascii="宋体" w:hAnsi="宋体" w:cs="宋体"/>
          <w:b/>
          <w:sz w:val="24"/>
          <w:lang w:val="en-US" w:eastAsia="zh-CN"/>
        </w:rPr>
        <w:t>活动</w:t>
      </w:r>
      <w:r>
        <w:rPr>
          <w:rFonts w:hint="eastAsia" w:ascii="宋体" w:hAnsi="宋体" w:cs="宋体"/>
          <w:b/>
          <w:sz w:val="24"/>
        </w:rPr>
        <w:t>概况</w:t>
      </w:r>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为了打造成渝地区双城经济圈文化旅游品牌，保护非物质文化遗产，弘扬中华传统文化，采购人将于端午期间举办2022年安居古城端午龙舟会，拟招募有相应的举办经验和承接能力的第三方机构一同实施。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活动名称：2021安居古城端午龙舟会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活动时间：2021年6月12日至13日（6月11日彩排）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活动地点：重庆市铜梁区安居镇北门码头（琼江涪江交汇处）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宋体" w:asciiTheme="minorEastAsia" w:hAnsiTheme="minorEastAsia" w:cstheme="minorEastAsia"/>
          <w:kern w:val="0"/>
          <w:sz w:val="24"/>
          <w:szCs w:val="24"/>
          <w:lang w:val="en-US" w:eastAsia="zh-CN"/>
        </w:rPr>
      </w:pPr>
      <w:r>
        <w:rPr>
          <w:rFonts w:hint="eastAsia" w:ascii="宋体" w:hAnsi="宋体" w:eastAsia="宋体" w:cs="宋体"/>
          <w:b/>
          <w:sz w:val="24"/>
          <w:szCs w:val="22"/>
          <w:lang w:val="en-US" w:eastAsia="zh-CN"/>
        </w:rPr>
        <w:t>二、项目范围及要求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详见：</w:t>
      </w:r>
      <w:r>
        <w:rPr>
          <w:rFonts w:hint="default" w:asciiTheme="minorEastAsia" w:hAnsiTheme="minorEastAsia" w:eastAsiaTheme="minorEastAsia" w:cstheme="minorEastAsia"/>
          <w:color w:val="auto"/>
          <w:sz w:val="24"/>
          <w:szCs w:val="24"/>
          <w:lang w:val="en-US" w:eastAsia="zh-CN"/>
        </w:rPr>
        <w:t>2022年安居古城端午龙舟会</w:t>
      </w:r>
      <w:r>
        <w:rPr>
          <w:rFonts w:hint="eastAsia" w:asciiTheme="minorEastAsia" w:hAnsiTheme="minorEastAsia" w:eastAsiaTheme="minorEastAsia" w:cstheme="minorEastAsia"/>
          <w:color w:val="auto"/>
          <w:sz w:val="24"/>
          <w:szCs w:val="24"/>
          <w:lang w:val="en-US" w:eastAsia="zh-CN"/>
        </w:rPr>
        <w:t>活动清单（附件1）</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水上特技表演方案（附件2）</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2022年安居古城端午龙舟会策划方案（附件3）</w:t>
      </w: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58"/>
        <w:pageBreakBefore w:val="0"/>
        <w:widowControl w:val="0"/>
        <w:kinsoku/>
        <w:wordWrap/>
        <w:overflowPunct/>
        <w:topLinePunct w:val="0"/>
        <w:autoSpaceDE/>
        <w:autoSpaceDN/>
        <w:bidi w:val="0"/>
        <w:adjustRightInd/>
        <w:snapToGrid/>
        <w:spacing w:line="360" w:lineRule="auto"/>
        <w:textAlignment w:val="auto"/>
      </w:pPr>
    </w:p>
    <w:p>
      <w:pPr>
        <w:keepNext/>
        <w:keepLines/>
        <w:spacing w:line="440" w:lineRule="exact"/>
        <w:ind w:left="560" w:firstLine="720" w:firstLineChars="200"/>
        <w:jc w:val="center"/>
        <w:outlineLvl w:val="0"/>
        <w:rPr>
          <w:rFonts w:ascii="宋体" w:hAnsi="宋体" w:cs="宋体"/>
          <w:b/>
          <w:sz w:val="24"/>
        </w:rPr>
      </w:pPr>
      <w:bookmarkStart w:id="27" w:name="_Toc10135"/>
      <w:r>
        <w:rPr>
          <w:rFonts w:ascii="宋体" w:hAnsi="宋体" w:cs="宋体"/>
          <w:sz w:val="36"/>
        </w:rPr>
        <w:t>第三篇项目商务需求</w:t>
      </w:r>
      <w:bookmarkEnd w:id="25"/>
      <w:bookmarkEnd w:id="26"/>
      <w:bookmarkEnd w:id="27"/>
    </w:p>
    <w:p>
      <w:pPr>
        <w:keepNext/>
        <w:keepLines/>
        <w:spacing w:line="440" w:lineRule="exact"/>
        <w:ind w:firstLine="482" w:firstLineChars="200"/>
        <w:outlineLvl w:val="1"/>
        <w:rPr>
          <w:rFonts w:ascii="宋体" w:hAnsi="宋体" w:cs="宋体"/>
          <w:b/>
          <w:sz w:val="24"/>
        </w:rPr>
      </w:pPr>
      <w:bookmarkStart w:id="28" w:name="_Toc3971569"/>
      <w:bookmarkStart w:id="29" w:name="_Toc8157"/>
      <w:bookmarkStart w:id="30" w:name="_Toc14030"/>
      <w:bookmarkStart w:id="31" w:name="_Toc19146"/>
      <w:bookmarkStart w:id="32" w:name="_Toc8202"/>
      <w:r>
        <w:rPr>
          <w:rFonts w:hint="eastAsia" w:ascii="宋体" w:hAnsi="宋体" w:cs="宋体"/>
          <w:b/>
          <w:sz w:val="24"/>
        </w:rPr>
        <w:t>一、活动时间、活动地点及验收方式</w:t>
      </w:r>
      <w:bookmarkEnd w:id="28"/>
      <w:bookmarkEnd w:id="29"/>
      <w:bookmarkEnd w:id="30"/>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（一）活动时间</w:t>
      </w:r>
    </w:p>
    <w:p>
      <w:pPr>
        <w:snapToGrid w:val="0"/>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2022年6月3日至5日（6月2日为彩排一场）</w:t>
      </w:r>
    </w:p>
    <w:p>
      <w:pPr>
        <w:snapToGrid w:val="0"/>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（二）活动地点</w:t>
      </w:r>
    </w:p>
    <w:p>
      <w:pPr>
        <w:snapToGrid w:val="0"/>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重庆市铜梁区安居镇北门码头（琼江涪江交汇处）。</w:t>
      </w:r>
    </w:p>
    <w:p>
      <w:pPr>
        <w:numPr>
          <w:ilvl w:val="0"/>
          <w:numId w:val="2"/>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验收方式</w:t>
      </w:r>
    </w:p>
    <w:p>
      <w:pPr>
        <w:pStyle w:val="2"/>
        <w:ind w:firstLine="480" w:firstLineChars="200"/>
        <w:rPr>
          <w:rFonts w:ascii="宋体" w:hAnsi="宋体" w:eastAsia="宋体" w:cs="宋体"/>
          <w:sz w:val="24"/>
          <w:szCs w:val="24"/>
        </w:rPr>
      </w:pPr>
      <w:r>
        <w:rPr>
          <w:rFonts w:hint="eastAsia" w:ascii="宋体" w:hAnsi="宋体" w:eastAsia="宋体" w:cs="宋体"/>
          <w:sz w:val="24"/>
          <w:szCs w:val="24"/>
        </w:rPr>
        <w:t>由采购人按照本项目招标文件和项目合同条款进行验收。</w:t>
      </w:r>
    </w:p>
    <w:p>
      <w:pPr>
        <w:keepNext/>
        <w:keepLines/>
        <w:spacing w:line="440" w:lineRule="exact"/>
        <w:ind w:firstLine="482" w:firstLineChars="200"/>
        <w:outlineLvl w:val="1"/>
        <w:rPr>
          <w:rFonts w:ascii="宋体" w:hAnsi="宋体" w:cs="宋体"/>
          <w:b/>
          <w:sz w:val="24"/>
        </w:rPr>
      </w:pPr>
      <w:bookmarkStart w:id="33" w:name="_Toc25417"/>
      <w:bookmarkStart w:id="34" w:name="_Toc31118"/>
      <w:bookmarkStart w:id="35" w:name="_Toc267320050"/>
      <w:r>
        <w:rPr>
          <w:rFonts w:hint="eastAsia" w:ascii="宋体" w:hAnsi="宋体" w:cs="宋体"/>
          <w:b/>
          <w:sz w:val="24"/>
        </w:rPr>
        <w:t>二、报价要求</w:t>
      </w:r>
      <w:bookmarkEnd w:id="33"/>
      <w:bookmarkEnd w:id="34"/>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cs="宋体"/>
          <w:kern w:val="0"/>
          <w:sz w:val="24"/>
          <w:szCs w:val="24"/>
        </w:rPr>
        <w:t>（一）本次报价为人民币报价，磋商报价包括完成本项</w:t>
      </w:r>
      <w:r>
        <w:rPr>
          <w:rFonts w:hint="eastAsia" w:ascii="宋体" w:hAnsi="宋体" w:eastAsia="宋体" w:cs="宋体"/>
          <w:kern w:val="0"/>
          <w:sz w:val="24"/>
          <w:szCs w:val="24"/>
        </w:rPr>
        <w:t>目所需的</w:t>
      </w:r>
      <w:r>
        <w:rPr>
          <w:rFonts w:hint="eastAsia" w:ascii="宋体" w:hAnsi="宋体" w:eastAsia="宋体" w:cs="宋体"/>
          <w:kern w:val="0"/>
          <w:sz w:val="24"/>
          <w:szCs w:val="24"/>
          <w:lang w:val="en-US" w:eastAsia="zh-CN"/>
        </w:rPr>
        <w:t>器材运输，吊装，安装，拆除，人员交通，食宿，保险，劳务，安全文明施工费，利润及税金等一切费用</w:t>
      </w:r>
      <w:r>
        <w:rPr>
          <w:rFonts w:hint="eastAsia" w:ascii="宋体" w:hAnsi="宋体" w:eastAsia="宋体" w:cs="宋体"/>
          <w:kern w:val="0"/>
          <w:sz w:val="24"/>
          <w:szCs w:val="24"/>
        </w:rPr>
        <w:t>等。因成交供应商自身原因造成漏报、少报皆由其自行承担责任，采购人不再补偿。</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（二）供应商应按照第二篇规定的项目内容、标准和要求，结合重庆市相关收费标准和市场价格水平，科学合理地制定投标报价，不得以恶意低价竞争。</w:t>
      </w:r>
    </w:p>
    <w:bookmarkEnd w:id="35"/>
    <w:p>
      <w:pPr>
        <w:keepNext/>
        <w:keepLines/>
        <w:spacing w:line="440" w:lineRule="exact"/>
        <w:ind w:firstLine="482" w:firstLineChars="200"/>
        <w:outlineLvl w:val="1"/>
        <w:rPr>
          <w:rFonts w:hint="eastAsia" w:ascii="宋体" w:hAnsi="宋体" w:cs="宋体"/>
          <w:b/>
          <w:sz w:val="24"/>
          <w:lang w:val="en-US" w:eastAsia="zh-CN"/>
        </w:rPr>
      </w:pPr>
      <w:bookmarkStart w:id="36" w:name="_Toc267320051"/>
      <w:bookmarkStart w:id="37" w:name="_Toc29731"/>
      <w:bookmarkStart w:id="38" w:name="_Toc7347"/>
      <w:r>
        <w:rPr>
          <w:rFonts w:hint="eastAsia" w:ascii="宋体" w:hAnsi="宋体" w:cs="宋体"/>
          <w:b/>
          <w:sz w:val="24"/>
          <w:lang w:val="en-US" w:eastAsia="zh-CN"/>
        </w:rPr>
        <w:t>三、履约保证金</w:t>
      </w:r>
    </w:p>
    <w:p>
      <w:pPr>
        <w:pStyle w:val="4"/>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履约保证金为成交价的10%，端午龙舟会活动结束并拆除清理相关设施设备到位后十日内一次性无息退还给成交人。</w:t>
      </w:r>
    </w:p>
    <w:p>
      <w:pPr>
        <w:keepNext/>
        <w:keepLines/>
        <w:spacing w:line="440" w:lineRule="exact"/>
        <w:ind w:firstLine="482" w:firstLineChars="200"/>
        <w:outlineLvl w:val="1"/>
        <w:rPr>
          <w:rFonts w:ascii="宋体" w:hAnsi="宋体" w:cs="宋体"/>
          <w:b/>
          <w:sz w:val="24"/>
        </w:rPr>
      </w:pPr>
      <w:r>
        <w:rPr>
          <w:rFonts w:hint="eastAsia" w:ascii="宋体" w:hAnsi="宋体" w:cs="宋体"/>
          <w:b/>
          <w:sz w:val="24"/>
          <w:lang w:val="en-US" w:eastAsia="zh-CN"/>
        </w:rPr>
        <w:t>四</w:t>
      </w:r>
      <w:r>
        <w:rPr>
          <w:rFonts w:hint="eastAsia" w:ascii="宋体" w:hAnsi="宋体" w:cs="宋体"/>
          <w:b/>
          <w:sz w:val="24"/>
        </w:rPr>
        <w:t>、付款方式</w:t>
      </w:r>
      <w:bookmarkEnd w:id="36"/>
      <w:bookmarkEnd w:id="37"/>
      <w:bookmarkEnd w:id="38"/>
    </w:p>
    <w:p>
      <w:pPr>
        <w:snapToGrid w:val="0"/>
        <w:spacing w:line="400" w:lineRule="exact"/>
        <w:ind w:firstLine="480" w:firstLineChars="200"/>
        <w:rPr>
          <w:rFonts w:hint="eastAsia" w:ascii="宋体" w:hAnsi="宋体" w:cs="宋体"/>
          <w:kern w:val="0"/>
          <w:sz w:val="24"/>
          <w:szCs w:val="24"/>
        </w:rPr>
      </w:pPr>
      <w:bookmarkStart w:id="39" w:name="_Toc513707497"/>
      <w:bookmarkStart w:id="40" w:name="_Toc44"/>
      <w:bookmarkStart w:id="41" w:name="_Toc267320052"/>
      <w:r>
        <w:rPr>
          <w:rFonts w:hint="eastAsia" w:ascii="宋体" w:hAnsi="宋体" w:cs="宋体"/>
          <w:kern w:val="0"/>
          <w:sz w:val="24"/>
          <w:szCs w:val="24"/>
          <w:lang w:val="en-US" w:eastAsia="zh-CN"/>
        </w:rPr>
        <w:t>合同签订后5日内支付签约合同价款的30%；做完全部清单项内容</w:t>
      </w:r>
      <w:r>
        <w:rPr>
          <w:rFonts w:hint="eastAsia" w:ascii="宋体" w:hAnsi="宋体" w:cs="宋体"/>
          <w:kern w:val="0"/>
          <w:sz w:val="24"/>
          <w:szCs w:val="24"/>
        </w:rPr>
        <w:t>并验收</w:t>
      </w:r>
      <w:r>
        <w:rPr>
          <w:rFonts w:hint="eastAsia" w:ascii="宋体" w:hAnsi="宋体" w:cs="宋体"/>
          <w:kern w:val="0"/>
          <w:sz w:val="24"/>
          <w:szCs w:val="24"/>
          <w:lang w:val="en-US" w:eastAsia="zh-CN"/>
        </w:rPr>
        <w:t>合格</w:t>
      </w:r>
      <w:r>
        <w:rPr>
          <w:rFonts w:hint="eastAsia" w:ascii="宋体" w:hAnsi="宋体" w:cs="宋体"/>
          <w:kern w:val="0"/>
          <w:sz w:val="24"/>
          <w:szCs w:val="24"/>
        </w:rPr>
        <w:t>后</w:t>
      </w:r>
      <w:r>
        <w:rPr>
          <w:rFonts w:hint="eastAsia" w:ascii="宋体" w:hAnsi="宋体" w:cs="宋体"/>
          <w:kern w:val="0"/>
          <w:sz w:val="24"/>
          <w:szCs w:val="24"/>
          <w:lang w:val="en-US" w:eastAsia="zh-CN"/>
        </w:rPr>
        <w:t>7</w:t>
      </w:r>
      <w:r>
        <w:rPr>
          <w:rFonts w:hint="eastAsia" w:ascii="宋体" w:hAnsi="宋体" w:cs="宋体"/>
          <w:kern w:val="0"/>
          <w:sz w:val="24"/>
          <w:szCs w:val="24"/>
        </w:rPr>
        <w:t>日内</w:t>
      </w:r>
      <w:r>
        <w:rPr>
          <w:rFonts w:hint="eastAsia" w:ascii="宋体" w:hAnsi="宋体" w:cs="宋体"/>
          <w:kern w:val="0"/>
          <w:sz w:val="24"/>
          <w:szCs w:val="24"/>
          <w:lang w:val="en-US" w:eastAsia="zh-CN"/>
        </w:rPr>
        <w:t>支付签约合同价款的50%；剩余价款在端午龙舟会活动结束并拆除清理相关设施设备到位</w:t>
      </w:r>
      <w:r>
        <w:rPr>
          <w:rFonts w:hint="eastAsia" w:ascii="宋体" w:hAnsi="宋体" w:cs="宋体"/>
          <w:kern w:val="0"/>
          <w:sz w:val="24"/>
          <w:szCs w:val="24"/>
        </w:rPr>
        <w:t>后</w:t>
      </w:r>
      <w:r>
        <w:rPr>
          <w:rFonts w:hint="eastAsia" w:ascii="宋体" w:hAnsi="宋体" w:cs="宋体"/>
          <w:kern w:val="0"/>
          <w:sz w:val="24"/>
          <w:szCs w:val="24"/>
          <w:lang w:val="en-US" w:eastAsia="zh-CN"/>
        </w:rPr>
        <w:t>7日内付清</w:t>
      </w:r>
      <w:r>
        <w:rPr>
          <w:rFonts w:hint="eastAsia" w:ascii="宋体" w:hAnsi="宋体" w:cs="宋体"/>
          <w:kern w:val="0"/>
          <w:sz w:val="24"/>
          <w:szCs w:val="24"/>
        </w:rPr>
        <w:t>。</w:t>
      </w:r>
    </w:p>
    <w:p>
      <w:pPr>
        <w:keepNext/>
        <w:keepLines/>
        <w:spacing w:line="440" w:lineRule="exact"/>
        <w:ind w:firstLine="482" w:firstLineChars="200"/>
        <w:outlineLvl w:val="1"/>
        <w:rPr>
          <w:rFonts w:hint="eastAsia" w:ascii="宋体" w:hAnsi="宋体" w:cs="宋体"/>
          <w:b/>
          <w:sz w:val="24"/>
          <w:szCs w:val="22"/>
        </w:rPr>
      </w:pPr>
      <w:bookmarkStart w:id="42" w:name="_Toc20642"/>
      <w:r>
        <w:rPr>
          <w:rFonts w:hint="eastAsia" w:ascii="宋体" w:hAnsi="宋体" w:cs="宋体"/>
          <w:b/>
          <w:sz w:val="24"/>
          <w:szCs w:val="22"/>
          <w:lang w:val="en-US" w:eastAsia="zh-CN"/>
        </w:rPr>
        <w:t>五</w:t>
      </w:r>
      <w:r>
        <w:rPr>
          <w:rFonts w:hint="eastAsia" w:ascii="宋体" w:hAnsi="宋体" w:cs="宋体"/>
          <w:b/>
          <w:sz w:val="24"/>
          <w:szCs w:val="22"/>
        </w:rPr>
        <w:t>、</w:t>
      </w:r>
      <w:bookmarkEnd w:id="39"/>
      <w:r>
        <w:rPr>
          <w:rFonts w:hint="eastAsia" w:ascii="宋体" w:hAnsi="宋体" w:cs="宋体"/>
          <w:b/>
          <w:sz w:val="24"/>
          <w:szCs w:val="22"/>
        </w:rPr>
        <w:t>知识产权</w:t>
      </w:r>
      <w:bookmarkEnd w:id="40"/>
      <w:bookmarkEnd w:id="41"/>
      <w:bookmarkEnd w:id="42"/>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采购人在中华人民共和国境内使用供应商提供的货物及服务时免受第三方提出的侵犯其专利权或其它知识产权的起诉。如果第三方提出侵权指控，中标人应承担由此而引起的一切法律责任和费用。</w:t>
      </w:r>
    </w:p>
    <w:p>
      <w:pPr>
        <w:keepNext/>
        <w:keepLines/>
        <w:spacing w:line="440" w:lineRule="exact"/>
        <w:ind w:firstLine="482" w:firstLineChars="200"/>
        <w:outlineLvl w:val="1"/>
        <w:rPr>
          <w:rFonts w:ascii="宋体" w:hAnsi="宋体" w:cs="宋体"/>
          <w:b/>
          <w:sz w:val="24"/>
        </w:rPr>
      </w:pPr>
      <w:bookmarkStart w:id="43" w:name="_Toc11930"/>
      <w:bookmarkStart w:id="44" w:name="_Toc22574"/>
      <w:r>
        <w:rPr>
          <w:rFonts w:hint="eastAsia" w:ascii="宋体" w:hAnsi="宋体" w:cs="宋体"/>
          <w:b/>
          <w:sz w:val="24"/>
          <w:lang w:val="en-US" w:eastAsia="zh-CN"/>
        </w:rPr>
        <w:t>六</w:t>
      </w:r>
      <w:r>
        <w:rPr>
          <w:rFonts w:hint="eastAsia" w:ascii="宋体" w:hAnsi="宋体" w:cs="宋体"/>
          <w:b/>
          <w:sz w:val="24"/>
        </w:rPr>
        <w:t>、其他商务要求内容</w:t>
      </w:r>
      <w:bookmarkEnd w:id="43"/>
      <w:bookmarkEnd w:id="44"/>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（一）供应商必须在投标文件中对以上条款和服务承诺明确列出，承诺内容必须达到本篇及招标文件其他条款的要求。</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（二）合同主体如因政策因素导致主体名称、地点等相关事项发生变化，以变更后为准。</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（三）其他未尽事宜由供需双方在采购合同中详细约定。</w:t>
      </w:r>
    </w:p>
    <w:p>
      <w:pPr>
        <w:snapToGrid w:val="0"/>
        <w:spacing w:line="400" w:lineRule="exact"/>
        <w:ind w:firstLine="723" w:firstLineChars="200"/>
        <w:rPr>
          <w:rFonts w:ascii="宋体" w:hAnsi="宋体" w:cs="宋体"/>
          <w:b/>
          <w:bCs/>
          <w:sz w:val="36"/>
        </w:rPr>
      </w:pPr>
    </w:p>
    <w:p>
      <w:pPr>
        <w:keepNext/>
        <w:keepLines/>
        <w:spacing w:before="260" w:after="260" w:line="440" w:lineRule="exact"/>
        <w:jc w:val="center"/>
        <w:outlineLvl w:val="0"/>
        <w:rPr>
          <w:rFonts w:ascii="宋体" w:hAnsi="宋体" w:cs="宋体"/>
          <w:sz w:val="36"/>
        </w:rPr>
      </w:pPr>
      <w:bookmarkStart w:id="45" w:name="_Toc19421"/>
      <w:r>
        <w:rPr>
          <w:rFonts w:ascii="宋体" w:hAnsi="宋体" w:cs="宋体"/>
          <w:sz w:val="36"/>
        </w:rPr>
        <w:t>第四篇磋商程序及方法、评审标准、无效响应和采购终止</w:t>
      </w:r>
      <w:bookmarkEnd w:id="31"/>
      <w:bookmarkEnd w:id="32"/>
      <w:bookmarkEnd w:id="45"/>
    </w:p>
    <w:p>
      <w:pPr>
        <w:keepNext/>
        <w:keepLines/>
        <w:spacing w:line="440" w:lineRule="exact"/>
        <w:ind w:firstLine="482" w:firstLineChars="200"/>
        <w:outlineLvl w:val="1"/>
        <w:rPr>
          <w:rFonts w:ascii="宋体" w:hAnsi="宋体" w:cs="宋体"/>
          <w:b/>
          <w:sz w:val="24"/>
        </w:rPr>
      </w:pPr>
      <w:bookmarkStart w:id="46" w:name="_Toc32548"/>
      <w:bookmarkStart w:id="47" w:name="_Toc2167"/>
      <w:bookmarkStart w:id="48" w:name="_Toc28040"/>
      <w:r>
        <w:rPr>
          <w:rFonts w:ascii="宋体" w:hAnsi="宋体" w:cs="宋体"/>
          <w:b/>
          <w:sz w:val="24"/>
        </w:rPr>
        <w:t>一、磋商程序及方法</w:t>
      </w:r>
      <w:bookmarkEnd w:id="46"/>
      <w:bookmarkEnd w:id="47"/>
      <w:bookmarkEnd w:id="48"/>
    </w:p>
    <w:p>
      <w:pPr>
        <w:spacing w:line="440" w:lineRule="exact"/>
        <w:ind w:firstLine="480" w:firstLineChars="200"/>
        <w:rPr>
          <w:rFonts w:ascii="宋体" w:hAnsi="宋体" w:cs="宋体"/>
          <w:sz w:val="24"/>
        </w:rPr>
      </w:pPr>
      <w:r>
        <w:rPr>
          <w:rFonts w:ascii="宋体" w:hAnsi="宋体" w:cs="宋体"/>
          <w:sz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40" w:lineRule="exact"/>
        <w:ind w:firstLine="480" w:firstLineChars="200"/>
        <w:rPr>
          <w:rFonts w:ascii="宋体" w:hAnsi="宋体" w:cs="宋体"/>
          <w:sz w:val="24"/>
        </w:rPr>
      </w:pPr>
      <w:r>
        <w:rPr>
          <w:rFonts w:ascii="宋体" w:hAnsi="宋体" w:cs="宋体"/>
          <w:sz w:val="24"/>
        </w:rPr>
        <w:t>（二）磋商小组对各供应商的资格条件、响应文件的有效性、完整性和响应程度进行审查。各供应商只有在完全符合要求的前提下，才能参与正式磋商。</w:t>
      </w:r>
    </w:p>
    <w:p>
      <w:pPr>
        <w:spacing w:line="44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资格性检查。依据法律法规和竞争性磋商文件的规定，对响应文件中的资格证明、等进行审查，以确定供应商是否具备磋商资格。资格性检查资料表如下：</w:t>
      </w:r>
    </w:p>
    <w:tbl>
      <w:tblPr>
        <w:tblStyle w:val="60"/>
        <w:tblW w:w="9639" w:type="dxa"/>
        <w:tblInd w:w="250" w:type="dxa"/>
        <w:tblLayout w:type="fixed"/>
        <w:tblCellMar>
          <w:top w:w="0" w:type="dxa"/>
          <w:left w:w="10" w:type="dxa"/>
          <w:bottom w:w="0" w:type="dxa"/>
          <w:right w:w="10" w:type="dxa"/>
        </w:tblCellMar>
      </w:tblPr>
      <w:tblGrid>
        <w:gridCol w:w="464"/>
        <w:gridCol w:w="629"/>
        <w:gridCol w:w="2134"/>
        <w:gridCol w:w="6412"/>
      </w:tblGrid>
      <w:tr>
        <w:tblPrEx>
          <w:tblLayout w:type="fixed"/>
          <w:tblCellMar>
            <w:top w:w="0" w:type="dxa"/>
            <w:left w:w="10" w:type="dxa"/>
            <w:bottom w:w="0" w:type="dxa"/>
            <w:right w:w="10" w:type="dxa"/>
          </w:tblCellMar>
        </w:tblPrEx>
        <w:tc>
          <w:tcPr>
            <w:tcW w:w="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bCs/>
                <w:sz w:val="21"/>
                <w:szCs w:val="21"/>
              </w:rPr>
            </w:pPr>
            <w:r>
              <w:rPr>
                <w:rFonts w:hint="eastAsia" w:ascii="宋体" w:hAnsi="宋体" w:cs="宋体"/>
                <w:bCs/>
                <w:sz w:val="21"/>
                <w:szCs w:val="21"/>
              </w:rPr>
              <w:t>序号</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bCs/>
                <w:sz w:val="21"/>
                <w:szCs w:val="21"/>
              </w:rPr>
            </w:pPr>
            <w:r>
              <w:rPr>
                <w:rFonts w:hint="eastAsia" w:ascii="宋体" w:hAnsi="宋体" w:cs="宋体"/>
                <w:bCs/>
                <w:sz w:val="21"/>
                <w:szCs w:val="21"/>
              </w:rPr>
              <w:t>检查因素</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bCs/>
                <w:sz w:val="21"/>
                <w:szCs w:val="21"/>
              </w:rPr>
            </w:pPr>
            <w:r>
              <w:rPr>
                <w:rFonts w:hint="eastAsia" w:ascii="宋体" w:hAnsi="宋体" w:cs="宋体"/>
                <w:bCs/>
                <w:sz w:val="21"/>
                <w:szCs w:val="21"/>
              </w:rPr>
              <w:t>检查内容</w:t>
            </w:r>
          </w:p>
        </w:tc>
      </w:tr>
      <w:tr>
        <w:tblPrEx>
          <w:tblLayout w:type="fixed"/>
          <w:tblCellMar>
            <w:top w:w="0" w:type="dxa"/>
            <w:left w:w="10" w:type="dxa"/>
            <w:bottom w:w="0" w:type="dxa"/>
            <w:right w:w="10" w:type="dxa"/>
          </w:tblCellMar>
        </w:tblPrEx>
        <w:trPr>
          <w:trHeight w:val="1316"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sz w:val="21"/>
                <w:szCs w:val="21"/>
              </w:rPr>
            </w:pPr>
            <w:r>
              <w:rPr>
                <w:rFonts w:hint="eastAsia" w:ascii="宋体" w:hAnsi="宋体" w:cs="宋体"/>
                <w:sz w:val="21"/>
                <w:szCs w:val="21"/>
              </w:rPr>
              <w:t>1</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sz w:val="21"/>
                <w:szCs w:val="21"/>
              </w:rPr>
            </w:pPr>
            <w:r>
              <w:rPr>
                <w:rFonts w:hint="eastAsia" w:ascii="宋体" w:hAnsi="宋体" w:cs="宋体"/>
                <w:sz w:val="21"/>
                <w:szCs w:val="21"/>
              </w:rPr>
              <w:t>供应商应符合的基本资格条件</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bCs/>
                <w:sz w:val="21"/>
                <w:szCs w:val="21"/>
              </w:rPr>
            </w:pPr>
            <w:r>
              <w:rPr>
                <w:rFonts w:hint="eastAsia" w:ascii="宋体" w:hAnsi="宋体" w:cs="宋体"/>
                <w:bCs/>
                <w:sz w:val="21"/>
                <w:szCs w:val="21"/>
              </w:rPr>
              <w:t>（1）具有独立承担民事责任的能力</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bCs/>
                <w:sz w:val="21"/>
                <w:szCs w:val="21"/>
              </w:rPr>
            </w:pPr>
            <w:r>
              <w:rPr>
                <w:rFonts w:hint="eastAsia" w:ascii="宋体" w:hAnsi="宋体" w:cs="宋体"/>
                <w:bCs/>
                <w:sz w:val="21"/>
                <w:szCs w:val="21"/>
              </w:rPr>
              <w:t>供应商法人营业执照（副本）或事业单位法人证书（副本）或个体工商户营业执照或有效的自然人身份证明或社会团体法人登记证书（提供复印件）（注①）；</w:t>
            </w:r>
          </w:p>
          <w:p>
            <w:pPr>
              <w:spacing w:line="276" w:lineRule="auto"/>
              <w:ind w:firstLine="420" w:firstLineChars="200"/>
              <w:rPr>
                <w:rFonts w:ascii="宋体" w:hAnsi="宋体" w:cs="宋体"/>
                <w:bCs/>
                <w:sz w:val="21"/>
                <w:szCs w:val="21"/>
              </w:rPr>
            </w:pPr>
            <w:r>
              <w:rPr>
                <w:rFonts w:hint="eastAsia" w:ascii="宋体" w:hAnsi="宋体" w:cs="宋体"/>
                <w:bCs/>
                <w:sz w:val="21"/>
                <w:szCs w:val="21"/>
              </w:rPr>
              <w:t>供应商法定代表人身份证明和法定代表人授权代表委托书。</w:t>
            </w:r>
          </w:p>
        </w:tc>
      </w:tr>
      <w:tr>
        <w:tblPrEx>
          <w:tblLayout w:type="fixed"/>
          <w:tblCellMar>
            <w:top w:w="0" w:type="dxa"/>
            <w:left w:w="10" w:type="dxa"/>
            <w:bottom w:w="0" w:type="dxa"/>
            <w:right w:w="10" w:type="dxa"/>
          </w:tblCellMar>
        </w:tblPrEx>
        <w:trPr>
          <w:trHeight w:val="1203"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（2）具有良好的商业信誉和健全的财务会计制度</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提供2020年度或2021年度财务状况报告（表）复印件，新成立或成立不满一年的组织和自然人无法提供财务状况报告（表）的，可提供银行出具的资信证明复印件。</w:t>
            </w:r>
          </w:p>
        </w:tc>
      </w:tr>
      <w:tr>
        <w:tblPrEx>
          <w:tblLayout w:type="fixed"/>
          <w:tblCellMar>
            <w:top w:w="0" w:type="dxa"/>
            <w:left w:w="10" w:type="dxa"/>
            <w:bottom w:w="0" w:type="dxa"/>
            <w:right w:w="10" w:type="dxa"/>
          </w:tblCellMar>
        </w:tblPrEx>
        <w:trPr>
          <w:trHeight w:val="868"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（3）具有履行合同所必需的设备和专业技术能力</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lang w:eastAsia="zh-CN"/>
              </w:rPr>
              <w:t>提供</w:t>
            </w:r>
            <w:r>
              <w:rPr>
                <w:rFonts w:hint="eastAsia" w:ascii="宋体" w:hAnsi="宋体" w:cs="宋体"/>
                <w:sz w:val="21"/>
                <w:szCs w:val="21"/>
                <w:lang w:val="en-US" w:eastAsia="zh-CN"/>
              </w:rPr>
              <w:t>4个</w:t>
            </w:r>
            <w:r>
              <w:rPr>
                <w:rFonts w:hint="eastAsia" w:ascii="宋体" w:hAnsi="宋体" w:cs="宋体"/>
                <w:sz w:val="21"/>
                <w:szCs w:val="21"/>
                <w:lang w:eastAsia="zh-CN"/>
              </w:rPr>
              <w:t>水上摩托艇特技表演人员国家水上运动中心摩托艇协会核发的摩托艇运动员证、</w:t>
            </w:r>
            <w:r>
              <w:rPr>
                <w:rFonts w:hint="eastAsia" w:ascii="宋体" w:hAnsi="宋体" w:cs="宋体"/>
                <w:sz w:val="21"/>
                <w:szCs w:val="21"/>
                <w:lang w:val="en-US" w:eastAsia="zh-CN"/>
              </w:rPr>
              <w:t>8个</w:t>
            </w:r>
            <w:r>
              <w:rPr>
                <w:rFonts w:hint="eastAsia" w:ascii="宋体" w:hAnsi="宋体" w:cs="宋体"/>
                <w:sz w:val="21"/>
                <w:szCs w:val="21"/>
                <w:lang w:eastAsia="zh-CN"/>
              </w:rPr>
              <w:t>救生人员救生员证复印件，原件备查。</w:t>
            </w:r>
          </w:p>
        </w:tc>
      </w:tr>
      <w:tr>
        <w:tblPrEx>
          <w:tblLayout w:type="fixed"/>
          <w:tblCellMar>
            <w:top w:w="0" w:type="dxa"/>
            <w:left w:w="10" w:type="dxa"/>
            <w:bottom w:w="0" w:type="dxa"/>
            <w:right w:w="10" w:type="dxa"/>
          </w:tblCellMar>
        </w:tblPrEx>
        <w:trPr>
          <w:trHeight w:val="1833"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（4）有依法缴纳税收和社会保障金的良好记录</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1.税务登记证（副本）复印件（</w:t>
            </w:r>
            <w:r>
              <w:rPr>
                <w:rFonts w:hint="eastAsia" w:ascii="宋体" w:hAnsi="宋体" w:cs="宋体"/>
                <w:bCs/>
                <w:sz w:val="21"/>
                <w:szCs w:val="21"/>
              </w:rPr>
              <w:t>注①</w:t>
            </w:r>
            <w:r>
              <w:rPr>
                <w:rFonts w:hint="eastAsia" w:ascii="宋体" w:hAnsi="宋体" w:cs="宋体"/>
                <w:sz w:val="21"/>
                <w:szCs w:val="21"/>
              </w:rPr>
              <w:t>）</w:t>
            </w:r>
          </w:p>
          <w:p>
            <w:pPr>
              <w:spacing w:line="276" w:lineRule="auto"/>
              <w:ind w:firstLine="420" w:firstLineChars="200"/>
              <w:rPr>
                <w:rFonts w:ascii="宋体" w:hAnsi="宋体" w:cs="宋体"/>
                <w:sz w:val="21"/>
                <w:szCs w:val="21"/>
              </w:rPr>
            </w:pPr>
            <w:r>
              <w:rPr>
                <w:rFonts w:hint="eastAsia" w:ascii="宋体" w:hAnsi="宋体" w:cs="宋体"/>
                <w:sz w:val="21"/>
                <w:szCs w:val="21"/>
              </w:rPr>
              <w:t>2.缴纳社会保障金的证明材料复印件（缴纳社会保障金的证明材料指：社会保险登记证（</w:t>
            </w:r>
            <w:r>
              <w:rPr>
                <w:rFonts w:hint="eastAsia" w:ascii="宋体" w:hAnsi="宋体" w:cs="宋体"/>
                <w:bCs/>
                <w:sz w:val="21"/>
                <w:szCs w:val="21"/>
              </w:rPr>
              <w:t>注①</w:t>
            </w:r>
            <w:r>
              <w:rPr>
                <w:rFonts w:hint="eastAsia" w:ascii="宋体" w:hAnsi="宋体" w:cs="宋体"/>
                <w:sz w:val="21"/>
                <w:szCs w:val="21"/>
              </w:rPr>
              <w:t>）或缴纳社会保险的凭据（专用收据或社会保险缴纳清单）。</w:t>
            </w:r>
          </w:p>
          <w:p>
            <w:pPr>
              <w:spacing w:line="276" w:lineRule="auto"/>
              <w:ind w:firstLine="420" w:firstLineChars="200"/>
              <w:rPr>
                <w:rFonts w:ascii="宋体" w:hAnsi="宋体" w:cs="宋体"/>
                <w:sz w:val="21"/>
                <w:szCs w:val="21"/>
              </w:rPr>
            </w:pPr>
            <w:r>
              <w:rPr>
                <w:rFonts w:hint="eastAsia" w:ascii="宋体" w:hAnsi="宋体" w:cs="宋体"/>
                <w:sz w:val="21"/>
                <w:szCs w:val="21"/>
              </w:rPr>
              <w:t>3.依法免税或不需要缴纳社会保障资金的供应商，应提供相应文件证明其依法免税或不需要缴纳社会保障资金。</w:t>
            </w:r>
          </w:p>
        </w:tc>
      </w:tr>
      <w:tr>
        <w:tblPrEx>
          <w:tblLayout w:type="fixed"/>
          <w:tblCellMar>
            <w:top w:w="0" w:type="dxa"/>
            <w:left w:w="10" w:type="dxa"/>
            <w:bottom w:w="0" w:type="dxa"/>
            <w:right w:w="10" w:type="dxa"/>
          </w:tblCellMar>
        </w:tblPrEx>
        <w:trPr>
          <w:trHeight w:val="274"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（5）参加政府采购活动前三年内，在经营活动中没有重大违法记录（注②）</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1.供应商提供书面声明（见格式文件）；</w:t>
            </w:r>
          </w:p>
          <w:p>
            <w:pPr>
              <w:spacing w:line="276" w:lineRule="auto"/>
              <w:ind w:firstLine="420" w:firstLineChars="200"/>
              <w:rPr>
                <w:rFonts w:ascii="宋体" w:hAnsi="宋体" w:cs="宋体"/>
                <w:sz w:val="21"/>
                <w:szCs w:val="21"/>
              </w:rPr>
            </w:pPr>
            <w:r>
              <w:rPr>
                <w:rFonts w:hint="eastAsia" w:ascii="宋体" w:hAnsi="宋体" w:cs="宋体"/>
                <w:sz w:val="21"/>
                <w:szCs w:val="21"/>
              </w:rPr>
              <w:t>2.采购人或采购代理机构将通过“信用中国”网站(</w:t>
            </w:r>
            <w:r>
              <w:fldChar w:fldCharType="begin"/>
            </w:r>
            <w:r>
              <w:instrText xml:space="preserve"> HYPERLINK "http://www.creditchina.gov.cn/" \h </w:instrText>
            </w:r>
            <w:r>
              <w:fldChar w:fldCharType="separate"/>
            </w:r>
            <w:r>
              <w:rPr>
                <w:rFonts w:hint="eastAsia" w:ascii="宋体" w:hAnsi="宋体" w:cs="宋体"/>
                <w:sz w:val="21"/>
                <w:szCs w:val="21"/>
                <w:u w:val="single"/>
              </w:rPr>
              <w:t>www.creditchina.gov.cn</w:t>
            </w:r>
            <w:r>
              <w:rPr>
                <w:rFonts w:hint="eastAsia" w:ascii="宋体" w:hAnsi="宋体" w:cs="宋体"/>
                <w:sz w:val="21"/>
                <w:szCs w:val="21"/>
                <w:u w:val="single"/>
              </w:rPr>
              <w:fldChar w:fldCharType="end"/>
            </w:r>
            <w:r>
              <w:rPr>
                <w:rFonts w:hint="eastAsia" w:ascii="宋体" w:hAnsi="宋体" w:cs="宋体"/>
                <w:sz w:val="21"/>
                <w:szCs w:val="21"/>
              </w:rPr>
              <w:t>)、“中国政府采购网”(</w:t>
            </w:r>
            <w:r>
              <w:fldChar w:fldCharType="begin"/>
            </w:r>
            <w:r>
              <w:instrText xml:space="preserve"> HYPERLINK "http://www.ccgp.gov.cn/" \h </w:instrText>
            </w:r>
            <w:r>
              <w:fldChar w:fldCharType="separate"/>
            </w:r>
            <w:r>
              <w:rPr>
                <w:rFonts w:hint="eastAsia" w:ascii="宋体" w:hAnsi="宋体" w:cs="宋体"/>
                <w:sz w:val="21"/>
                <w:szCs w:val="21"/>
                <w:u w:val="single"/>
              </w:rPr>
              <w:t>www.ccgp.gov.cn</w:t>
            </w:r>
            <w:r>
              <w:rPr>
                <w:rFonts w:hint="eastAsia" w:ascii="宋体" w:hAnsi="宋体" w:cs="宋体"/>
                <w:sz w:val="21"/>
                <w:szCs w:val="21"/>
                <w:u w:val="single"/>
              </w:rPr>
              <w:fldChar w:fldCharType="end"/>
            </w:r>
            <w:r>
              <w:rPr>
                <w:rFonts w:hint="eastAsia" w:ascii="宋体" w:hAnsi="宋体" w:cs="宋体"/>
                <w:sz w:val="21"/>
                <w:szCs w:val="21"/>
              </w:rPr>
              <w:t>)等渠道查询供应商信用记录，对列入失信被执行人、重大税收违法案件当事人名单、政府采购严重违法失信行为记录名单的供应商将拒绝其参与政府采购活动。</w:t>
            </w:r>
          </w:p>
        </w:tc>
      </w:tr>
      <w:tr>
        <w:tblPrEx>
          <w:tblLayout w:type="fixed"/>
          <w:tblCellMar>
            <w:top w:w="0" w:type="dxa"/>
            <w:left w:w="10" w:type="dxa"/>
            <w:bottom w:w="0" w:type="dxa"/>
            <w:right w:w="10" w:type="dxa"/>
          </w:tblCellMar>
        </w:tblPrEx>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（6）法律、行政法规规定的其他条件</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p>
        </w:tc>
      </w:tr>
      <w:tr>
        <w:tblPrEx>
          <w:tblLayout w:type="fixed"/>
          <w:tblCellMar>
            <w:top w:w="0" w:type="dxa"/>
            <w:left w:w="10" w:type="dxa"/>
            <w:bottom w:w="0" w:type="dxa"/>
            <w:right w:w="10" w:type="dxa"/>
          </w:tblCellMar>
        </w:tblPrEx>
        <w:tc>
          <w:tcPr>
            <w:tcW w:w="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（7）本项目的特定资格要求</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按第一篇“三、供应商的资格条件（</w:t>
            </w:r>
            <w:r>
              <w:rPr>
                <w:rFonts w:hint="eastAsia" w:ascii="宋体" w:hAnsi="宋体" w:cs="宋体"/>
                <w:sz w:val="21"/>
                <w:szCs w:val="21"/>
                <w:lang w:val="en-US" w:eastAsia="zh-CN"/>
              </w:rPr>
              <w:t>二</w:t>
            </w:r>
            <w:r>
              <w:rPr>
                <w:rFonts w:hint="eastAsia" w:ascii="宋体" w:hAnsi="宋体" w:cs="宋体"/>
                <w:sz w:val="21"/>
                <w:szCs w:val="21"/>
              </w:rPr>
              <w:t>）本项目的特定资格要求”的要求提交。</w:t>
            </w:r>
          </w:p>
        </w:tc>
      </w:tr>
      <w:tr>
        <w:tblPrEx>
          <w:tblLayout w:type="fixed"/>
          <w:tblCellMar>
            <w:top w:w="0" w:type="dxa"/>
            <w:left w:w="10" w:type="dxa"/>
            <w:bottom w:w="0" w:type="dxa"/>
            <w:right w:w="10" w:type="dxa"/>
          </w:tblCellMar>
        </w:tblPrEx>
        <w:trPr>
          <w:trHeight w:val="56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00" w:lineRule="exact"/>
              <w:jc w:val="center"/>
              <w:rPr>
                <w:rFonts w:hint="eastAsia" w:ascii="宋体" w:hAnsi="宋体" w:eastAsia="宋体" w:cs="宋体"/>
                <w:sz w:val="21"/>
                <w:szCs w:val="21"/>
                <w:lang w:eastAsia="zh-CN"/>
              </w:rPr>
            </w:pPr>
            <w:r>
              <w:rPr>
                <w:rFonts w:hint="eastAsia" w:ascii="微软雅黑" w:hAnsi="微软雅黑" w:eastAsia="微软雅黑" w:cs="微软雅黑"/>
                <w:sz w:val="21"/>
                <w:szCs w:val="21"/>
                <w:lang w:val="en-US" w:eastAsia="zh-CN"/>
              </w:rPr>
              <w:t>2</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保证金</w:t>
            </w:r>
          </w:p>
        </w:tc>
        <w:tc>
          <w:tcPr>
            <w:tcW w:w="64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保证金到账截止时间前提交足额磋商保证金</w:t>
            </w:r>
          </w:p>
        </w:tc>
      </w:tr>
    </w:tbl>
    <w:p>
      <w:pPr>
        <w:spacing w:line="440" w:lineRule="exact"/>
        <w:ind w:firstLine="480" w:firstLineChars="200"/>
        <w:rPr>
          <w:rFonts w:ascii="宋体" w:hAnsi="宋体" w:cs="宋体"/>
          <w:strike/>
          <w:sz w:val="24"/>
        </w:rPr>
      </w:pPr>
      <w:r>
        <w:rPr>
          <w:rFonts w:ascii="宋体" w:hAnsi="宋体" w:cs="宋体"/>
          <w:sz w:val="24"/>
        </w:rPr>
        <w:t>注：</w:t>
      </w:r>
    </w:p>
    <w:p>
      <w:pPr>
        <w:spacing w:line="440" w:lineRule="exact"/>
        <w:ind w:firstLine="480" w:firstLineChars="200"/>
        <w:rPr>
          <w:rFonts w:ascii="宋体" w:hAnsi="宋体" w:cs="宋体"/>
          <w:sz w:val="24"/>
        </w:rPr>
      </w:pPr>
      <w:r>
        <w:rPr>
          <w:rFonts w:ascii="宋体" w:hAnsi="宋体" w:cs="宋体"/>
          <w:sz w:val="24"/>
        </w:rPr>
        <w:t>①供应商按“多证合一”登记制度办理营业执照的，组织机构代码证和税务登记证（副本）以供应商所提供的营业执照（副本）复印件为准。</w:t>
      </w:r>
    </w:p>
    <w:p>
      <w:pPr>
        <w:spacing w:line="440" w:lineRule="exact"/>
        <w:ind w:firstLine="480" w:firstLineChars="200"/>
        <w:rPr>
          <w:rFonts w:ascii="宋体" w:hAnsi="宋体" w:cs="宋体"/>
          <w:sz w:val="24"/>
        </w:rPr>
      </w:pPr>
      <w:r>
        <w:rPr>
          <w:rFonts w:ascii="宋体" w:hAnsi="宋体" w:cs="宋体"/>
          <w:sz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cs="宋体"/>
          <w:sz w:val="24"/>
        </w:rPr>
        <w:t>按照“</w:t>
      </w:r>
      <w:r>
        <w:rPr>
          <w:rFonts w:ascii="宋体" w:hAnsi="宋体" w:cs="宋体"/>
          <w:sz w:val="24"/>
        </w:rPr>
        <w:t>财政部关于《中华人民共和国政府采购法实施条例》第十九条第一款</w:t>
      </w:r>
      <w:r>
        <w:rPr>
          <w:rFonts w:hint="eastAsia" w:ascii="宋体" w:hAnsi="宋体" w:cs="宋体"/>
          <w:sz w:val="24"/>
        </w:rPr>
        <w:t>'</w:t>
      </w:r>
      <w:r>
        <w:rPr>
          <w:rFonts w:ascii="宋体" w:hAnsi="宋体" w:cs="宋体"/>
          <w:sz w:val="24"/>
        </w:rPr>
        <w:t>较大数额罚款</w:t>
      </w:r>
      <w:r>
        <w:rPr>
          <w:rFonts w:hint="eastAsia" w:ascii="宋体" w:hAnsi="宋体" w:cs="宋体"/>
          <w:sz w:val="24"/>
        </w:rPr>
        <w:t>'</w:t>
      </w:r>
      <w:r>
        <w:rPr>
          <w:rFonts w:ascii="宋体" w:hAnsi="宋体" w:cs="宋体"/>
          <w:sz w:val="24"/>
        </w:rPr>
        <w:t>具体适用问题的意见</w:t>
      </w:r>
      <w:r>
        <w:rPr>
          <w:rFonts w:hint="eastAsia" w:ascii="宋体" w:hAnsi="宋体" w:cs="宋体"/>
          <w:sz w:val="24"/>
        </w:rPr>
        <w:t>（财库〔2022〕3 号）”执行</w:t>
      </w:r>
      <w:r>
        <w:rPr>
          <w:rFonts w:ascii="宋体" w:hAnsi="宋体" w:cs="宋体"/>
          <w:sz w:val="24"/>
        </w:rPr>
        <w:t>。</w:t>
      </w:r>
    </w:p>
    <w:p>
      <w:pPr>
        <w:spacing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9781" w:type="dxa"/>
        <w:tblInd w:w="108" w:type="dxa"/>
        <w:tblLayout w:type="fixed"/>
        <w:tblCellMar>
          <w:top w:w="0" w:type="dxa"/>
          <w:left w:w="10" w:type="dxa"/>
          <w:bottom w:w="0" w:type="dxa"/>
          <w:right w:w="10" w:type="dxa"/>
        </w:tblCellMar>
      </w:tblPr>
      <w:tblGrid>
        <w:gridCol w:w="629"/>
        <w:gridCol w:w="1348"/>
        <w:gridCol w:w="1693"/>
        <w:gridCol w:w="6111"/>
      </w:tblGrid>
      <w:tr>
        <w:tblPrEx>
          <w:tblLayout w:type="fixed"/>
          <w:tblCellMar>
            <w:top w:w="0" w:type="dxa"/>
            <w:left w:w="10" w:type="dxa"/>
            <w:bottom w:w="0" w:type="dxa"/>
            <w:right w:w="10" w:type="dxa"/>
          </w:tblCellMar>
        </w:tblPrEx>
        <w:tc>
          <w:tcPr>
            <w:tcW w:w="6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bCs/>
                <w:sz w:val="21"/>
                <w:szCs w:val="21"/>
              </w:rPr>
            </w:pPr>
            <w:r>
              <w:rPr>
                <w:rFonts w:ascii="宋体" w:hAnsi="宋体" w:cs="宋体"/>
                <w:bCs/>
                <w:sz w:val="21"/>
                <w:szCs w:val="21"/>
              </w:rPr>
              <w:t>序号</w:t>
            </w:r>
          </w:p>
        </w:tc>
        <w:tc>
          <w:tcPr>
            <w:tcW w:w="3041"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bCs/>
                <w:sz w:val="21"/>
                <w:szCs w:val="21"/>
              </w:rPr>
            </w:pPr>
            <w:r>
              <w:rPr>
                <w:rFonts w:ascii="宋体" w:hAnsi="宋体" w:cs="宋体"/>
                <w:bCs/>
                <w:sz w:val="21"/>
                <w:szCs w:val="21"/>
              </w:rPr>
              <w:t>评审因素</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bCs/>
                <w:sz w:val="21"/>
                <w:szCs w:val="21"/>
              </w:rPr>
            </w:pPr>
            <w:r>
              <w:rPr>
                <w:rFonts w:ascii="宋体" w:hAnsi="宋体" w:cs="宋体"/>
                <w:bCs/>
                <w:sz w:val="21"/>
                <w:szCs w:val="21"/>
              </w:rPr>
              <w:t>评审标准</w:t>
            </w:r>
          </w:p>
        </w:tc>
      </w:tr>
      <w:tr>
        <w:tblPrEx>
          <w:tblLayout w:type="fixed"/>
          <w:tblCellMar>
            <w:top w:w="0" w:type="dxa"/>
            <w:left w:w="10" w:type="dxa"/>
            <w:bottom w:w="0" w:type="dxa"/>
            <w:right w:w="10" w:type="dxa"/>
          </w:tblCellMar>
        </w:tblPrEx>
        <w:trPr>
          <w:trHeight w:val="556"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sz w:val="21"/>
                <w:szCs w:val="21"/>
              </w:rPr>
            </w:pPr>
            <w:r>
              <w:rPr>
                <w:rFonts w:ascii="宋体" w:hAnsi="宋体" w:cs="宋体"/>
                <w:sz w:val="21"/>
                <w:szCs w:val="21"/>
              </w:rPr>
              <w:t>1</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有效性审查</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响应文件签署</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hint="eastAsia" w:ascii="宋体" w:hAnsi="宋体" w:cs="宋体"/>
                <w:sz w:val="21"/>
                <w:szCs w:val="21"/>
              </w:rPr>
              <w:t>按竞争性磋商文件“第七篇响应文件编制要求”要求签署或盖章。</w:t>
            </w:r>
          </w:p>
        </w:tc>
      </w:tr>
      <w:tr>
        <w:tblPrEx>
          <w:tblLayout w:type="fixed"/>
          <w:tblCellMar>
            <w:top w:w="0" w:type="dxa"/>
            <w:left w:w="10" w:type="dxa"/>
            <w:bottom w:w="0" w:type="dxa"/>
            <w:right w:w="10" w:type="dxa"/>
          </w:tblCellMar>
        </w:tblPrEx>
        <w:trPr>
          <w:trHeight w:val="943"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法定代表人身份证明及授权委托书</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ascii="宋体" w:hAnsi="宋体" w:cs="宋体"/>
                <w:sz w:val="21"/>
                <w:szCs w:val="21"/>
              </w:rPr>
              <w:t>法定代表人身份证明及授权委托书有效，符合竞争性磋商文件规定的格式，签字或盖章齐全。</w:t>
            </w:r>
          </w:p>
        </w:tc>
      </w:tr>
      <w:tr>
        <w:tblPrEx>
          <w:tblLayout w:type="fixed"/>
          <w:tblCellMar>
            <w:top w:w="0" w:type="dxa"/>
            <w:left w:w="10" w:type="dxa"/>
            <w:bottom w:w="0" w:type="dxa"/>
            <w:right w:w="10" w:type="dxa"/>
          </w:tblCellMar>
        </w:tblPrEx>
        <w:trPr>
          <w:trHeight w:val="52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响应方案</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ascii="宋体" w:hAnsi="宋体" w:cs="宋体"/>
                <w:sz w:val="21"/>
                <w:szCs w:val="21"/>
              </w:rPr>
              <w:t>每个分包只能有一个响应方案。</w:t>
            </w:r>
          </w:p>
        </w:tc>
      </w:tr>
      <w:tr>
        <w:tblPrEx>
          <w:tblLayout w:type="fixed"/>
          <w:tblCellMar>
            <w:top w:w="0" w:type="dxa"/>
            <w:left w:w="10" w:type="dxa"/>
            <w:bottom w:w="0" w:type="dxa"/>
            <w:right w:w="10" w:type="dxa"/>
          </w:tblCellMar>
        </w:tblPrEx>
        <w:trPr>
          <w:trHeight w:val="75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报价唯一</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ascii="宋体" w:hAnsi="宋体" w:cs="宋体"/>
                <w:sz w:val="21"/>
                <w:szCs w:val="21"/>
              </w:rPr>
              <w:t>只能在采购预算范围内报价，只能有一个有效报价，不得提交选择性报价。</w:t>
            </w:r>
          </w:p>
        </w:tc>
      </w:tr>
      <w:tr>
        <w:tblPrEx>
          <w:tblLayout w:type="fixed"/>
          <w:tblCellMar>
            <w:top w:w="0" w:type="dxa"/>
            <w:left w:w="10" w:type="dxa"/>
            <w:bottom w:w="0" w:type="dxa"/>
            <w:right w:w="10" w:type="dxa"/>
          </w:tblCellMar>
        </w:tblPrEx>
        <w:trPr>
          <w:trHeight w:val="767"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sz w:val="21"/>
                <w:szCs w:val="21"/>
              </w:rPr>
            </w:pPr>
            <w:r>
              <w:rPr>
                <w:rFonts w:ascii="宋体" w:hAnsi="宋体" w:cs="宋体"/>
                <w:sz w:val="21"/>
                <w:szCs w:val="21"/>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完整性审查</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响应文件份数</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ascii="宋体" w:hAnsi="宋体" w:cs="宋体"/>
                <w:sz w:val="21"/>
                <w:szCs w:val="21"/>
              </w:rPr>
              <w:t>响应文件正、副本数量符合竞争性磋商文件要求。</w:t>
            </w:r>
          </w:p>
        </w:tc>
      </w:tr>
      <w:tr>
        <w:tblPrEx>
          <w:tblLayout w:type="fixed"/>
          <w:tblCellMar>
            <w:top w:w="0" w:type="dxa"/>
            <w:left w:w="10" w:type="dxa"/>
            <w:bottom w:w="0" w:type="dxa"/>
            <w:right w:w="10" w:type="dxa"/>
          </w:tblCellMar>
        </w:tblPrEx>
        <w:trPr>
          <w:trHeight w:val="647"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jc w:val="center"/>
              <w:rPr>
                <w:rFonts w:ascii="宋体" w:hAnsi="宋体" w:cs="宋体"/>
                <w:sz w:val="21"/>
                <w:szCs w:val="21"/>
              </w:rPr>
            </w:pPr>
            <w:r>
              <w:rPr>
                <w:rFonts w:ascii="宋体" w:hAnsi="宋体" w:cs="宋体"/>
                <w:sz w:val="21"/>
                <w:szCs w:val="21"/>
              </w:rPr>
              <w:t>3</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竞争性磋商文件的响应程度审查</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响应文件内容</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ascii="宋体" w:hAnsi="宋体" w:cs="宋体"/>
                <w:sz w:val="21"/>
                <w:szCs w:val="21"/>
              </w:rPr>
              <w:t>对竞争性磋商文件（第二篇、第三篇）的磋商内容作出响应。</w:t>
            </w:r>
          </w:p>
        </w:tc>
      </w:tr>
      <w:tr>
        <w:tblPrEx>
          <w:tblLayout w:type="fixed"/>
          <w:tblCellMar>
            <w:top w:w="0" w:type="dxa"/>
            <w:left w:w="10" w:type="dxa"/>
            <w:bottom w:w="0" w:type="dxa"/>
            <w:right w:w="10" w:type="dxa"/>
          </w:tblCellMar>
        </w:tblPrEx>
        <w:trPr>
          <w:trHeight w:val="728"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jc w:val="center"/>
              <w:rPr>
                <w:rFonts w:ascii="宋体" w:hAnsi="宋体" w:cs="宋体"/>
                <w:sz w:val="21"/>
                <w:szCs w:val="21"/>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rPr>
                <w:rFonts w:ascii="宋体" w:hAnsi="宋体" w:cs="宋体"/>
                <w:sz w:val="21"/>
                <w:szCs w:val="21"/>
              </w:rPr>
            </w:pPr>
            <w:r>
              <w:rPr>
                <w:rFonts w:ascii="宋体" w:hAnsi="宋体" w:cs="宋体"/>
                <w:sz w:val="21"/>
                <w:szCs w:val="21"/>
              </w:rPr>
              <w:t>磋商有效期</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76" w:lineRule="auto"/>
              <w:ind w:firstLine="420" w:firstLineChars="200"/>
              <w:rPr>
                <w:rFonts w:ascii="宋体" w:hAnsi="宋体" w:cs="宋体"/>
                <w:sz w:val="21"/>
                <w:szCs w:val="21"/>
              </w:rPr>
            </w:pPr>
            <w:r>
              <w:rPr>
                <w:rFonts w:ascii="宋体" w:hAnsi="宋体" w:cs="宋体"/>
                <w:sz w:val="21"/>
                <w:szCs w:val="21"/>
              </w:rPr>
              <w:t>满足磋商文件规定。</w:t>
            </w:r>
          </w:p>
        </w:tc>
      </w:tr>
    </w:tbl>
    <w:p>
      <w:pPr>
        <w:spacing w:line="440" w:lineRule="exact"/>
        <w:ind w:firstLine="480" w:firstLineChars="200"/>
        <w:rPr>
          <w:rFonts w:ascii="宋体" w:hAnsi="宋体" w:cs="宋体"/>
          <w:sz w:val="24"/>
        </w:rPr>
      </w:pPr>
      <w:r>
        <w:rPr>
          <w:rFonts w:ascii="宋体" w:hAnsi="宋体" w:cs="宋体"/>
          <w:sz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cs="宋体"/>
          <w:sz w:val="24"/>
        </w:rPr>
      </w:pPr>
      <w:r>
        <w:rPr>
          <w:rFonts w:ascii="宋体" w:hAnsi="宋体" w:cs="宋体"/>
          <w:sz w:val="24"/>
        </w:rPr>
        <w:t>（四）磋商小组要求供应商澄清、说明或者更正响应文件应当以书面形式作出。供应商的澄清、说明或者更正应当由</w:t>
      </w:r>
      <w:r>
        <w:rPr>
          <w:rFonts w:hint="eastAsia" w:ascii="宋体" w:hAnsi="宋体" w:cs="宋体"/>
          <w:sz w:val="24"/>
        </w:rPr>
        <w:t>法定代表人（或其授权代表）或自然人（供应商为自然人）签署或者加盖公章</w:t>
      </w:r>
      <w:r>
        <w:rPr>
          <w:rFonts w:ascii="宋体" w:hAnsi="宋体" w:cs="宋体"/>
          <w:sz w:val="24"/>
        </w:rPr>
        <w:t>。由授权代表签</w:t>
      </w:r>
      <w:r>
        <w:rPr>
          <w:rFonts w:hint="eastAsia" w:ascii="宋体" w:hAnsi="宋体" w:cs="宋体"/>
          <w:sz w:val="24"/>
        </w:rPr>
        <w:t>署</w:t>
      </w:r>
      <w:r>
        <w:rPr>
          <w:rFonts w:ascii="宋体" w:hAnsi="宋体" w:cs="宋体"/>
          <w:sz w:val="24"/>
        </w:rPr>
        <w:t>的，应当附法定代表人授权书。供应商为自然人的，应当由本人签</w:t>
      </w:r>
      <w:r>
        <w:rPr>
          <w:rFonts w:hint="eastAsia" w:ascii="宋体" w:hAnsi="宋体" w:cs="宋体"/>
          <w:sz w:val="24"/>
        </w:rPr>
        <w:t>署</w:t>
      </w:r>
      <w:r>
        <w:rPr>
          <w:rFonts w:ascii="宋体" w:hAnsi="宋体" w:cs="宋体"/>
          <w:sz w:val="24"/>
        </w:rPr>
        <w:t>并附身份证明。</w:t>
      </w:r>
    </w:p>
    <w:p>
      <w:pPr>
        <w:spacing w:line="440" w:lineRule="exact"/>
        <w:ind w:firstLine="480" w:firstLineChars="200"/>
        <w:rPr>
          <w:rFonts w:ascii="宋体" w:hAnsi="宋体" w:cs="宋体"/>
          <w:sz w:val="24"/>
        </w:rPr>
      </w:pPr>
      <w:r>
        <w:rPr>
          <w:rFonts w:ascii="宋体" w:hAnsi="宋体" w:cs="宋体"/>
          <w:sz w:val="24"/>
        </w:rPr>
        <w:t>（五）在磋商过程中磋商的任何一方不得向他人透露与磋商有关的服务资料、价格或其他信息。</w:t>
      </w:r>
    </w:p>
    <w:p>
      <w:pPr>
        <w:spacing w:line="440" w:lineRule="exact"/>
        <w:ind w:firstLine="480" w:firstLineChars="200"/>
        <w:rPr>
          <w:rFonts w:ascii="宋体" w:hAnsi="宋体" w:cs="宋体"/>
          <w:sz w:val="24"/>
        </w:rPr>
      </w:pPr>
      <w:r>
        <w:rPr>
          <w:rFonts w:ascii="宋体" w:hAnsi="宋体" w:cs="宋体"/>
          <w:sz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40" w:lineRule="exact"/>
        <w:ind w:firstLine="480" w:firstLineChars="200"/>
        <w:rPr>
          <w:rFonts w:ascii="宋体" w:hAnsi="宋体" w:cs="宋体"/>
          <w:sz w:val="24"/>
        </w:rPr>
      </w:pPr>
      <w:r>
        <w:rPr>
          <w:rFonts w:ascii="宋体" w:hAnsi="宋体" w:cs="宋体"/>
          <w:sz w:val="24"/>
        </w:rPr>
        <w:t>（七）供应商在磋商时作出的所有书面承诺须由</w:t>
      </w:r>
      <w:r>
        <w:rPr>
          <w:rFonts w:hint="eastAsia" w:ascii="宋体" w:hAnsi="宋体" w:cs="宋体"/>
          <w:sz w:val="24"/>
        </w:rPr>
        <w:t>法定代表人（或其授权代表）或自然人（供应商为自然人）签署</w:t>
      </w:r>
      <w:r>
        <w:rPr>
          <w:rFonts w:ascii="宋体" w:hAnsi="宋体" w:cs="宋体"/>
          <w:sz w:val="24"/>
        </w:rPr>
        <w:t>。</w:t>
      </w:r>
    </w:p>
    <w:p>
      <w:pPr>
        <w:spacing w:line="440" w:lineRule="exact"/>
        <w:ind w:firstLine="480" w:firstLineChars="200"/>
        <w:rPr>
          <w:rFonts w:ascii="宋体" w:hAnsi="宋体" w:cs="宋体"/>
          <w:sz w:val="24"/>
        </w:rPr>
      </w:pPr>
      <w:r>
        <w:rPr>
          <w:rFonts w:ascii="宋体" w:hAnsi="宋体" w:cs="宋体"/>
          <w:sz w:val="24"/>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宋体" w:hAnsi="宋体" w:cs="宋体"/>
          <w:sz w:val="24"/>
        </w:rPr>
        <w:t>《最后报价表》在磋商现场向供应商提供</w:t>
      </w:r>
      <w:r>
        <w:rPr>
          <w:rFonts w:ascii="宋体" w:hAnsi="宋体" w:cs="宋体"/>
          <w:sz w:val="24"/>
        </w:rPr>
        <w:t>）。已提交响应文件但未在规定时间内进行最后报价的供应商，视为放弃最后报价，以供应商响应文件中的报价为准。</w:t>
      </w:r>
    </w:p>
    <w:p>
      <w:pPr>
        <w:spacing w:line="440" w:lineRule="exact"/>
        <w:ind w:firstLine="480" w:firstLineChars="200"/>
        <w:rPr>
          <w:rFonts w:ascii="宋体" w:hAnsi="宋体" w:cs="宋体"/>
          <w:sz w:val="24"/>
        </w:rPr>
      </w:pPr>
      <w:r>
        <w:rPr>
          <w:rFonts w:ascii="宋体" w:hAnsi="宋体" w:cs="宋体"/>
          <w:sz w:val="24"/>
        </w:rPr>
        <w:t>（九）本项目采用综合评分法进行评标。综合评分法，是指响应文件满足</w:t>
      </w:r>
      <w:r>
        <w:rPr>
          <w:rFonts w:hint="eastAsia" w:ascii="宋体" w:hAnsi="宋体" w:cs="宋体"/>
          <w:sz w:val="24"/>
        </w:rPr>
        <w:t>竞争性</w:t>
      </w:r>
      <w:r>
        <w:rPr>
          <w:rFonts w:ascii="宋体" w:hAnsi="宋体" w:cs="宋体"/>
          <w:sz w:val="24"/>
        </w:rPr>
        <w:t>磋商文件全部实质性要求且按照评审因素的量化指标评审得分最高的供应商为</w:t>
      </w:r>
      <w:r>
        <w:rPr>
          <w:rFonts w:hint="eastAsia" w:ascii="宋体" w:hAnsi="宋体" w:cs="宋体"/>
          <w:sz w:val="24"/>
        </w:rPr>
        <w:t>成交</w:t>
      </w:r>
      <w:r>
        <w:rPr>
          <w:rFonts w:ascii="宋体" w:hAnsi="宋体" w:cs="宋体"/>
          <w:sz w:val="24"/>
        </w:rPr>
        <w:t>候选人的评标方法。供应商总得分为价格、</w:t>
      </w:r>
      <w:r>
        <w:rPr>
          <w:rFonts w:hint="eastAsia" w:ascii="宋体" w:hAnsi="宋体" w:cs="宋体"/>
          <w:sz w:val="24"/>
        </w:rPr>
        <w:t>技术</w:t>
      </w:r>
      <w:r>
        <w:rPr>
          <w:rFonts w:ascii="宋体" w:hAnsi="宋体" w:cs="宋体"/>
          <w:sz w:val="24"/>
        </w:rPr>
        <w:t>、商务等评定因素分别按照相应权重值计算分项得分后相加，满分为100分。</w:t>
      </w:r>
    </w:p>
    <w:p>
      <w:pPr>
        <w:spacing w:line="440" w:lineRule="exact"/>
        <w:ind w:firstLine="480" w:firstLineChars="200"/>
        <w:rPr>
          <w:rFonts w:ascii="宋体" w:hAnsi="宋体" w:cs="宋体"/>
          <w:sz w:val="24"/>
        </w:rPr>
      </w:pPr>
      <w:r>
        <w:rPr>
          <w:rFonts w:ascii="宋体" w:hAnsi="宋体" w:cs="宋体"/>
          <w:sz w:val="24"/>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w:t>
      </w:r>
      <w:r>
        <w:rPr>
          <w:rFonts w:hint="eastAsia" w:ascii="宋体" w:hAnsi="宋体" w:cs="宋体"/>
          <w:sz w:val="24"/>
        </w:rPr>
        <w:t>技术</w:t>
      </w:r>
      <w:r>
        <w:rPr>
          <w:rFonts w:ascii="宋体" w:hAnsi="宋体" w:cs="宋体"/>
          <w:sz w:val="24"/>
        </w:rPr>
        <w:t>指标优劣顺序排列推荐。以上都相同的，按商务条款的优劣顺序排列推荐。若供应商的</w:t>
      </w:r>
      <w:r>
        <w:rPr>
          <w:rFonts w:hint="eastAsia" w:ascii="宋体" w:hAnsi="宋体" w:cs="宋体"/>
          <w:sz w:val="24"/>
        </w:rPr>
        <w:t>技术</w:t>
      </w:r>
      <w:r>
        <w:rPr>
          <w:rFonts w:ascii="宋体" w:hAnsi="宋体" w:cs="宋体"/>
          <w:sz w:val="24"/>
        </w:rPr>
        <w:t>部分为0分，将失去成为成交候选供应商的资格。</w:t>
      </w:r>
    </w:p>
    <w:p>
      <w:pPr>
        <w:keepNext/>
        <w:keepLines/>
        <w:spacing w:line="440" w:lineRule="exact"/>
        <w:ind w:firstLine="482" w:firstLineChars="200"/>
        <w:outlineLvl w:val="1"/>
        <w:rPr>
          <w:rFonts w:ascii="宋体" w:hAnsi="宋体" w:cs="宋体"/>
          <w:b/>
          <w:sz w:val="24"/>
        </w:rPr>
      </w:pPr>
      <w:bookmarkStart w:id="49" w:name="_Toc32595"/>
      <w:bookmarkStart w:id="50" w:name="_Toc27026"/>
      <w:bookmarkStart w:id="51" w:name="_Toc6494"/>
      <w:r>
        <w:rPr>
          <w:rFonts w:hint="eastAsia" w:ascii="宋体" w:hAnsi="宋体" w:cs="宋体"/>
          <w:b/>
          <w:sz w:val="24"/>
        </w:rPr>
        <w:t>二、评审标准</w:t>
      </w:r>
      <w:bookmarkEnd w:id="49"/>
      <w:bookmarkEnd w:id="50"/>
      <w:bookmarkEnd w:id="51"/>
    </w:p>
    <w:p>
      <w:pPr>
        <w:spacing w:line="360" w:lineRule="auto"/>
        <w:ind w:firstLine="480" w:firstLineChars="200"/>
        <w:rPr>
          <w:rFonts w:ascii="宋体" w:hAnsi="宋体" w:cs="宋体"/>
          <w:sz w:val="24"/>
          <w:szCs w:val="24"/>
        </w:rPr>
      </w:pPr>
      <w:r>
        <w:rPr>
          <w:rFonts w:hint="eastAsia" w:ascii="宋体" w:hAnsi="宋体" w:cs="宋体"/>
          <w:sz w:val="24"/>
          <w:szCs w:val="24"/>
        </w:rPr>
        <w:t>（一）评审因素</w:t>
      </w:r>
    </w:p>
    <w:tbl>
      <w:tblPr>
        <w:tblStyle w:val="60"/>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3"/>
        <w:gridCol w:w="1083"/>
        <w:gridCol w:w="4475"/>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577" w:type="dxa"/>
            <w:vAlign w:val="center"/>
          </w:tcPr>
          <w:p>
            <w:pPr>
              <w:spacing w:line="240" w:lineRule="atLeast"/>
              <w:ind w:firstLine="28"/>
              <w:jc w:val="center"/>
              <w:rPr>
                <w:rFonts w:ascii="宋体" w:hAnsi="宋体" w:cs="宋体"/>
                <w:b/>
                <w:sz w:val="21"/>
                <w:szCs w:val="21"/>
              </w:rPr>
            </w:pPr>
            <w:r>
              <w:rPr>
                <w:rFonts w:hint="eastAsia" w:ascii="宋体" w:hAnsi="宋体" w:cs="宋体"/>
                <w:b/>
                <w:sz w:val="21"/>
                <w:szCs w:val="21"/>
              </w:rPr>
              <w:t>序号</w:t>
            </w:r>
          </w:p>
        </w:tc>
        <w:tc>
          <w:tcPr>
            <w:tcW w:w="1113" w:type="dxa"/>
            <w:vAlign w:val="center"/>
          </w:tcPr>
          <w:p>
            <w:pPr>
              <w:spacing w:line="240" w:lineRule="atLeast"/>
              <w:ind w:firstLine="28"/>
              <w:jc w:val="center"/>
              <w:rPr>
                <w:rFonts w:ascii="宋体" w:hAnsi="宋体" w:cs="宋体"/>
                <w:b/>
                <w:sz w:val="21"/>
                <w:szCs w:val="21"/>
              </w:rPr>
            </w:pPr>
            <w:r>
              <w:rPr>
                <w:rFonts w:hint="eastAsia" w:ascii="宋体" w:hAnsi="宋体" w:cs="宋体"/>
                <w:b/>
                <w:sz w:val="21"/>
                <w:szCs w:val="21"/>
              </w:rPr>
              <w:t>评分因素及权重</w:t>
            </w:r>
          </w:p>
        </w:tc>
        <w:tc>
          <w:tcPr>
            <w:tcW w:w="1083" w:type="dxa"/>
            <w:vAlign w:val="center"/>
          </w:tcPr>
          <w:p>
            <w:pPr>
              <w:spacing w:line="240" w:lineRule="atLeast"/>
              <w:ind w:firstLine="28"/>
              <w:jc w:val="center"/>
              <w:rPr>
                <w:rFonts w:ascii="宋体" w:hAnsi="宋体" w:cs="宋体"/>
                <w:b/>
                <w:sz w:val="21"/>
                <w:szCs w:val="21"/>
              </w:rPr>
            </w:pPr>
            <w:r>
              <w:rPr>
                <w:rFonts w:hint="eastAsia" w:ascii="宋体" w:hAnsi="宋体" w:cs="宋体"/>
                <w:b/>
                <w:sz w:val="21"/>
                <w:szCs w:val="21"/>
              </w:rPr>
              <w:t>分值</w:t>
            </w:r>
          </w:p>
        </w:tc>
        <w:tc>
          <w:tcPr>
            <w:tcW w:w="4475" w:type="dxa"/>
            <w:vAlign w:val="center"/>
          </w:tcPr>
          <w:p>
            <w:pPr>
              <w:spacing w:line="240" w:lineRule="atLeast"/>
              <w:ind w:firstLine="28"/>
              <w:jc w:val="center"/>
              <w:rPr>
                <w:rFonts w:ascii="宋体" w:hAnsi="宋体" w:cs="宋体"/>
                <w:b/>
                <w:sz w:val="21"/>
                <w:szCs w:val="21"/>
              </w:rPr>
            </w:pPr>
            <w:r>
              <w:rPr>
                <w:rFonts w:hint="eastAsia" w:ascii="宋体" w:hAnsi="宋体" w:cs="宋体"/>
                <w:b/>
                <w:sz w:val="21"/>
                <w:szCs w:val="21"/>
              </w:rPr>
              <w:t>评分标准</w:t>
            </w:r>
          </w:p>
        </w:tc>
        <w:tc>
          <w:tcPr>
            <w:tcW w:w="2412" w:type="dxa"/>
            <w:vAlign w:val="center"/>
          </w:tcPr>
          <w:p>
            <w:pPr>
              <w:pStyle w:val="150"/>
              <w:spacing w:before="0" w:after="0" w:line="240" w:lineRule="atLeast"/>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577" w:type="dxa"/>
            <w:vAlign w:val="center"/>
          </w:tcPr>
          <w:p>
            <w:pPr>
              <w:spacing w:line="240" w:lineRule="atLeast"/>
              <w:ind w:firstLine="28"/>
              <w:jc w:val="center"/>
              <w:rPr>
                <w:rFonts w:ascii="宋体" w:hAnsi="宋体" w:cs="宋体"/>
                <w:sz w:val="21"/>
                <w:szCs w:val="21"/>
              </w:rPr>
            </w:pPr>
            <w:r>
              <w:rPr>
                <w:rFonts w:hint="eastAsia" w:ascii="宋体" w:hAnsi="宋体" w:cs="宋体"/>
                <w:sz w:val="21"/>
                <w:szCs w:val="21"/>
              </w:rPr>
              <w:t>1</w:t>
            </w:r>
          </w:p>
        </w:tc>
        <w:tc>
          <w:tcPr>
            <w:tcW w:w="1113" w:type="dxa"/>
            <w:vAlign w:val="center"/>
          </w:tcPr>
          <w:p>
            <w:pPr>
              <w:spacing w:line="240" w:lineRule="atLeast"/>
              <w:ind w:firstLine="28"/>
              <w:jc w:val="center"/>
              <w:rPr>
                <w:rFonts w:ascii="宋体" w:hAnsi="宋体" w:cs="宋体"/>
                <w:sz w:val="21"/>
                <w:szCs w:val="21"/>
              </w:rPr>
            </w:pPr>
            <w:r>
              <w:rPr>
                <w:rFonts w:hint="eastAsia" w:ascii="宋体" w:hAnsi="宋体" w:cs="宋体"/>
                <w:color w:val="000000"/>
                <w:kern w:val="0"/>
                <w:sz w:val="21"/>
                <w:szCs w:val="21"/>
              </w:rPr>
              <w:t>磋商报价</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0%）</w:t>
            </w:r>
          </w:p>
        </w:tc>
        <w:tc>
          <w:tcPr>
            <w:tcW w:w="1083" w:type="dxa"/>
            <w:vAlign w:val="center"/>
          </w:tcPr>
          <w:p>
            <w:pPr>
              <w:spacing w:line="240" w:lineRule="atLeast"/>
              <w:ind w:firstLine="28"/>
              <w:jc w:val="center"/>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0分</w:t>
            </w:r>
          </w:p>
        </w:tc>
        <w:tc>
          <w:tcPr>
            <w:tcW w:w="4475" w:type="dxa"/>
            <w:vAlign w:val="center"/>
          </w:tcPr>
          <w:p>
            <w:pPr>
              <w:adjustRightInd w:val="0"/>
              <w:snapToGrid w:val="0"/>
              <w:spacing w:line="360" w:lineRule="atLeast"/>
              <w:ind w:firstLine="28"/>
              <w:jc w:val="left"/>
              <w:rPr>
                <w:rFonts w:ascii="宋体" w:hAnsi="宋体" w:cs="宋体"/>
                <w:color w:val="auto"/>
                <w:kern w:val="0"/>
                <w:sz w:val="21"/>
                <w:szCs w:val="21"/>
              </w:rPr>
            </w:pPr>
            <w:r>
              <w:rPr>
                <w:rFonts w:hint="eastAsia" w:ascii="宋体" w:hAnsi="宋体" w:cs="宋体"/>
                <w:color w:val="auto"/>
                <w:kern w:val="0"/>
                <w:sz w:val="21"/>
                <w:szCs w:val="21"/>
              </w:rPr>
              <w:t>有效的磋商报价中的最低价（且政策性扣减后）为评标基准价，按照下列公式计算每个供应商的磋商价格得分。</w:t>
            </w:r>
          </w:p>
          <w:p>
            <w:pPr>
              <w:adjustRightInd w:val="0"/>
              <w:snapToGrid w:val="0"/>
              <w:spacing w:line="360" w:lineRule="atLeast"/>
              <w:ind w:firstLine="28"/>
              <w:jc w:val="left"/>
              <w:rPr>
                <w:rFonts w:ascii="宋体" w:hAnsi="宋体" w:cs="宋体"/>
                <w:color w:val="auto"/>
                <w:kern w:val="0"/>
                <w:sz w:val="21"/>
                <w:szCs w:val="21"/>
              </w:rPr>
            </w:pPr>
            <w:r>
              <w:rPr>
                <w:rFonts w:hint="eastAsia" w:ascii="宋体" w:hAnsi="宋体" w:cs="宋体"/>
                <w:color w:val="auto"/>
                <w:kern w:val="0"/>
                <w:sz w:val="21"/>
                <w:szCs w:val="21"/>
              </w:rPr>
              <w:t>磋商报价得分＝（评标基准价/磋商报价）×价格权重×100。</w:t>
            </w:r>
          </w:p>
          <w:p>
            <w:pPr>
              <w:spacing w:line="240" w:lineRule="atLeast"/>
              <w:rPr>
                <w:rFonts w:ascii="宋体" w:hAnsi="宋体" w:cs="宋体"/>
                <w:sz w:val="21"/>
                <w:szCs w:val="21"/>
              </w:rPr>
            </w:pPr>
            <w:r>
              <w:rPr>
                <w:rFonts w:hint="eastAsia" w:ascii="宋体" w:hAnsi="宋体" w:cs="宋体"/>
                <w:color w:val="auto"/>
                <w:kern w:val="0"/>
                <w:sz w:val="21"/>
                <w:szCs w:val="21"/>
              </w:rPr>
              <w:t>磋商报价得分四舍五入后保留两位小数。</w:t>
            </w:r>
          </w:p>
        </w:tc>
        <w:tc>
          <w:tcPr>
            <w:tcW w:w="2412" w:type="dxa"/>
            <w:vAlign w:val="center"/>
          </w:tcPr>
          <w:p>
            <w:pPr>
              <w:spacing w:line="240" w:lineRule="atLeast"/>
              <w:ind w:left="-38"/>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577" w:type="dxa"/>
            <w:vMerge w:val="restart"/>
            <w:vAlign w:val="center"/>
          </w:tcPr>
          <w:p>
            <w:pPr>
              <w:spacing w:line="240" w:lineRule="atLeast"/>
              <w:ind w:firstLine="28"/>
              <w:jc w:val="center"/>
              <w:rPr>
                <w:rFonts w:ascii="宋体" w:hAnsi="宋体" w:cs="宋体"/>
                <w:sz w:val="21"/>
                <w:szCs w:val="21"/>
              </w:rPr>
            </w:pPr>
            <w:r>
              <w:rPr>
                <w:rFonts w:hint="eastAsia" w:ascii="宋体" w:hAnsi="宋体" w:cs="宋体"/>
                <w:sz w:val="21"/>
                <w:szCs w:val="21"/>
              </w:rPr>
              <w:t>2</w:t>
            </w:r>
          </w:p>
        </w:tc>
        <w:tc>
          <w:tcPr>
            <w:tcW w:w="1113" w:type="dxa"/>
            <w:vMerge w:val="restart"/>
            <w:vAlign w:val="center"/>
          </w:tcPr>
          <w:p>
            <w:pPr>
              <w:adjustRightInd w:val="0"/>
              <w:snapToGrid w:val="0"/>
              <w:ind w:firstLine="28"/>
              <w:jc w:val="center"/>
              <w:rPr>
                <w:rFonts w:ascii="宋体" w:hAnsi="宋体" w:cs="宋体"/>
                <w:sz w:val="21"/>
                <w:szCs w:val="21"/>
              </w:rPr>
            </w:pPr>
            <w:r>
              <w:rPr>
                <w:rFonts w:hint="eastAsia" w:ascii="宋体" w:hAnsi="宋体" w:cs="宋体"/>
                <w:sz w:val="21"/>
                <w:szCs w:val="21"/>
              </w:rPr>
              <w:t>技术部分</w:t>
            </w:r>
          </w:p>
          <w:p>
            <w:pPr>
              <w:spacing w:line="240" w:lineRule="atLeast"/>
              <w:ind w:firstLine="28"/>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p>
        </w:tc>
        <w:tc>
          <w:tcPr>
            <w:tcW w:w="1083" w:type="dxa"/>
            <w:vAlign w:val="center"/>
          </w:tcPr>
          <w:p>
            <w:pPr>
              <w:spacing w:line="240" w:lineRule="atLeast"/>
              <w:ind w:firstLine="28"/>
              <w:jc w:val="center"/>
              <w:rPr>
                <w:rFonts w:hint="default" w:ascii="宋体" w:hAnsi="宋体" w:cs="宋体" w:eastAsiaTheme="minorEastAsia"/>
                <w:sz w:val="21"/>
                <w:szCs w:val="21"/>
                <w:lang w:val="en-US" w:eastAsia="zh-CN"/>
              </w:rPr>
            </w:pPr>
            <w:r>
              <w:rPr>
                <w:rFonts w:hint="eastAsia" w:ascii="宋体" w:hAnsi="宋体" w:cs="宋体" w:eastAsiaTheme="minorEastAsia"/>
                <w:sz w:val="21"/>
                <w:szCs w:val="21"/>
                <w:lang w:val="en-US" w:eastAsia="zh-CN"/>
              </w:rPr>
              <w:t>5分</w:t>
            </w:r>
          </w:p>
        </w:tc>
        <w:tc>
          <w:tcPr>
            <w:tcW w:w="4475" w:type="dxa"/>
            <w:vAlign w:val="center"/>
          </w:tcPr>
          <w:p>
            <w:pPr>
              <w:adjustRightInd w:val="0"/>
              <w:snapToGrid w:val="0"/>
              <w:rPr>
                <w:rFonts w:ascii="宋体" w:hAnsi="宋体" w:cs="宋体"/>
                <w:color w:val="auto"/>
                <w:sz w:val="21"/>
                <w:szCs w:val="21"/>
                <w:lang w:eastAsia="zh-Hans"/>
              </w:rPr>
            </w:pPr>
            <w:r>
              <w:rPr>
                <w:rFonts w:hint="eastAsia" w:ascii="宋体" w:hAnsi="宋体" w:cs="宋体"/>
                <w:color w:val="auto"/>
                <w:sz w:val="21"/>
                <w:szCs w:val="21"/>
                <w:lang w:eastAsia="zh-Hans"/>
              </w:rPr>
              <w:t>（</w:t>
            </w:r>
            <w:r>
              <w:rPr>
                <w:rFonts w:hint="eastAsia" w:ascii="宋体" w:hAnsi="宋体" w:cs="宋体"/>
                <w:color w:val="auto"/>
                <w:sz w:val="21"/>
                <w:szCs w:val="21"/>
                <w:lang w:val="en-US" w:eastAsia="zh-CN"/>
              </w:rPr>
              <w:t>一</w:t>
            </w:r>
            <w:r>
              <w:rPr>
                <w:rFonts w:hint="eastAsia" w:ascii="宋体" w:hAnsi="宋体" w:cs="宋体"/>
                <w:color w:val="auto"/>
                <w:sz w:val="21"/>
                <w:szCs w:val="21"/>
                <w:lang w:eastAsia="zh-Hans"/>
              </w:rPr>
              <w:t>）</w:t>
            </w:r>
            <w:r>
              <w:rPr>
                <w:rFonts w:hint="eastAsia" w:ascii="宋体" w:hAnsi="宋体" w:cs="宋体"/>
                <w:color w:val="auto"/>
                <w:sz w:val="21"/>
                <w:szCs w:val="21"/>
              </w:rPr>
              <w:t>安全保障方案（5分）</w:t>
            </w:r>
          </w:p>
          <w:p>
            <w:pPr>
              <w:adjustRightInd w:val="0"/>
              <w:snapToGrid w:val="0"/>
              <w:rPr>
                <w:rFonts w:ascii="宋体" w:hAnsi="宋体" w:cs="宋体"/>
                <w:color w:val="auto"/>
                <w:sz w:val="21"/>
                <w:szCs w:val="21"/>
                <w:lang w:eastAsia="zh-Hans"/>
              </w:rPr>
            </w:pPr>
            <w:r>
              <w:rPr>
                <w:rFonts w:hint="eastAsia" w:ascii="宋体" w:hAnsi="宋体" w:cs="宋体"/>
                <w:color w:val="auto"/>
                <w:sz w:val="21"/>
                <w:szCs w:val="21"/>
                <w:lang w:eastAsia="zh-Hans"/>
              </w:rPr>
              <w:t>供应商针对本次</w:t>
            </w:r>
            <w:r>
              <w:rPr>
                <w:rFonts w:hint="eastAsia" w:ascii="宋体" w:hAnsi="宋体" w:cs="宋体"/>
                <w:color w:val="auto"/>
                <w:sz w:val="21"/>
                <w:szCs w:val="21"/>
              </w:rPr>
              <w:t>活动</w:t>
            </w:r>
            <w:r>
              <w:rPr>
                <w:rFonts w:hint="eastAsia" w:ascii="宋体" w:hAnsi="宋体" w:cs="宋体"/>
                <w:color w:val="auto"/>
                <w:sz w:val="21"/>
                <w:szCs w:val="21"/>
                <w:lang w:eastAsia="zh-Hans"/>
              </w:rPr>
              <w:t>提供安全</w:t>
            </w:r>
            <w:r>
              <w:rPr>
                <w:rFonts w:hint="eastAsia" w:ascii="宋体" w:hAnsi="宋体" w:cs="宋体"/>
                <w:color w:val="auto"/>
                <w:sz w:val="21"/>
                <w:szCs w:val="21"/>
              </w:rPr>
              <w:t>保障</w:t>
            </w:r>
            <w:r>
              <w:rPr>
                <w:rFonts w:hint="eastAsia" w:ascii="宋体" w:hAnsi="宋体" w:cs="宋体"/>
                <w:color w:val="auto"/>
                <w:sz w:val="21"/>
                <w:szCs w:val="21"/>
                <w:lang w:eastAsia="zh-Hans"/>
              </w:rPr>
              <w:t>方案</w:t>
            </w:r>
            <w:r>
              <w:rPr>
                <w:rFonts w:hint="eastAsia" w:ascii="宋体" w:hAnsi="宋体" w:cs="宋体"/>
                <w:color w:val="auto"/>
                <w:sz w:val="21"/>
                <w:szCs w:val="21"/>
              </w:rPr>
              <w:t>，</w:t>
            </w:r>
            <w:r>
              <w:rPr>
                <w:rFonts w:hint="eastAsia" w:ascii="宋体" w:hAnsi="宋体" w:cs="宋体"/>
                <w:color w:val="auto"/>
                <w:sz w:val="21"/>
                <w:szCs w:val="21"/>
                <w:lang w:eastAsia="zh-Hans"/>
              </w:rPr>
              <w:t>方案内容包括但不限于：安全</w:t>
            </w:r>
            <w:r>
              <w:rPr>
                <w:rFonts w:hint="eastAsia" w:ascii="宋体" w:hAnsi="宋体" w:cs="宋体"/>
                <w:color w:val="auto"/>
                <w:sz w:val="21"/>
                <w:szCs w:val="21"/>
              </w:rPr>
              <w:t>保障</w:t>
            </w:r>
            <w:r>
              <w:rPr>
                <w:rFonts w:hint="eastAsia" w:ascii="宋体" w:hAnsi="宋体" w:cs="宋体"/>
                <w:color w:val="auto"/>
                <w:sz w:val="21"/>
                <w:szCs w:val="21"/>
                <w:lang w:eastAsia="zh-Hans"/>
              </w:rPr>
              <w:t>措施、</w:t>
            </w:r>
            <w:r>
              <w:rPr>
                <w:rFonts w:hint="eastAsia" w:ascii="宋体" w:hAnsi="宋体" w:cs="宋体"/>
                <w:color w:val="auto"/>
                <w:sz w:val="21"/>
                <w:szCs w:val="21"/>
              </w:rPr>
              <w:t>突发应急事件处理</w:t>
            </w:r>
            <w:r>
              <w:rPr>
                <w:rFonts w:hint="eastAsia" w:ascii="宋体" w:hAnsi="宋体" w:cs="宋体"/>
                <w:color w:val="auto"/>
                <w:sz w:val="21"/>
                <w:szCs w:val="21"/>
                <w:lang w:eastAsia="zh-Hans"/>
              </w:rPr>
              <w:t>等内容。</w:t>
            </w:r>
          </w:p>
          <w:p>
            <w:pPr>
              <w:adjustRightInd w:val="0"/>
              <w:snapToGrid w:val="0"/>
              <w:rPr>
                <w:rFonts w:ascii="宋体" w:hAnsi="宋体" w:cs="宋体"/>
                <w:color w:val="auto"/>
                <w:sz w:val="21"/>
                <w:szCs w:val="21"/>
              </w:rPr>
            </w:pPr>
            <w:r>
              <w:rPr>
                <w:rFonts w:hint="eastAsia" w:ascii="宋体" w:hAnsi="宋体" w:cs="宋体"/>
                <w:color w:val="auto"/>
                <w:sz w:val="21"/>
                <w:szCs w:val="21"/>
              </w:rPr>
              <w:t>（1）方案内容全面、合理可行、可实施操作性强的得5分；</w:t>
            </w:r>
          </w:p>
          <w:p>
            <w:pPr>
              <w:adjustRightInd w:val="0"/>
              <w:snapToGrid w:val="0"/>
              <w:rPr>
                <w:rFonts w:ascii="宋体" w:hAnsi="宋体" w:cs="宋体"/>
                <w:color w:val="auto"/>
                <w:sz w:val="21"/>
                <w:szCs w:val="21"/>
              </w:rPr>
            </w:pPr>
            <w:r>
              <w:rPr>
                <w:rFonts w:hint="eastAsia" w:ascii="宋体" w:hAnsi="宋体" w:cs="宋体"/>
                <w:color w:val="auto"/>
                <w:sz w:val="21"/>
                <w:szCs w:val="21"/>
              </w:rPr>
              <w:t>（2）方案内容一般、合理可行性一般的得3分；</w:t>
            </w:r>
          </w:p>
          <w:p>
            <w:pPr>
              <w:adjustRightInd w:val="0"/>
              <w:snapToGrid w:val="0"/>
              <w:rPr>
                <w:rFonts w:ascii="宋体" w:hAnsi="宋体" w:cs="宋体"/>
                <w:color w:val="auto"/>
                <w:sz w:val="21"/>
                <w:szCs w:val="21"/>
              </w:rPr>
            </w:pPr>
            <w:r>
              <w:rPr>
                <w:rFonts w:hint="eastAsia" w:ascii="宋体" w:hAnsi="宋体" w:cs="宋体"/>
                <w:color w:val="auto"/>
                <w:sz w:val="21"/>
                <w:szCs w:val="21"/>
              </w:rPr>
              <w:t>（3）方案内容有欠缺的得1分；</w:t>
            </w:r>
          </w:p>
          <w:p>
            <w:pPr>
              <w:adjustRightInd w:val="0"/>
              <w:snapToGrid w:val="0"/>
              <w:rPr>
                <w:rFonts w:ascii="宋体" w:hAnsi="宋体" w:cs="宋体"/>
                <w:color w:val="auto"/>
                <w:sz w:val="21"/>
                <w:szCs w:val="21"/>
              </w:rPr>
            </w:pPr>
            <w:r>
              <w:rPr>
                <w:rFonts w:hint="eastAsia" w:ascii="宋体" w:hAnsi="宋体" w:cs="宋体"/>
                <w:color w:val="auto"/>
                <w:sz w:val="21"/>
                <w:szCs w:val="21"/>
              </w:rPr>
              <w:t>（4）</w:t>
            </w:r>
            <w:r>
              <w:rPr>
                <w:rFonts w:hint="eastAsia" w:ascii="宋体" w:hAnsi="宋体" w:cs="宋体"/>
                <w:color w:val="auto"/>
                <w:sz w:val="21"/>
                <w:szCs w:val="21"/>
                <w:lang w:eastAsia="zh-Hans"/>
              </w:rPr>
              <w:t>方案不能满足采购需求的得</w:t>
            </w:r>
            <w:r>
              <w:rPr>
                <w:rFonts w:hint="eastAsia" w:ascii="宋体" w:hAnsi="宋体" w:cs="宋体"/>
                <w:color w:val="auto"/>
                <w:sz w:val="21"/>
                <w:szCs w:val="21"/>
              </w:rPr>
              <w:t>0分。</w:t>
            </w:r>
          </w:p>
        </w:tc>
        <w:tc>
          <w:tcPr>
            <w:tcW w:w="2412" w:type="dxa"/>
            <w:vAlign w:val="center"/>
          </w:tcPr>
          <w:p>
            <w:pPr>
              <w:spacing w:line="240" w:lineRule="atLeast"/>
              <w:ind w:left="-38"/>
              <w:rPr>
                <w:rFonts w:ascii="宋体" w:hAnsi="宋体" w:cs="宋体"/>
                <w:sz w:val="21"/>
                <w:szCs w:val="21"/>
              </w:rPr>
            </w:pPr>
            <w:r>
              <w:rPr>
                <w:rFonts w:hint="eastAsia" w:ascii="宋体" w:hAnsi="宋体" w:cs="宋体"/>
                <w:color w:val="000000"/>
                <w:kern w:val="0"/>
                <w:sz w:val="21"/>
                <w:szCs w:val="21"/>
              </w:rPr>
              <w:t>供应商须在响应文件中提供方案并加盖公章（供应商提供方案，格式自拟）。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77" w:type="dxa"/>
            <w:vMerge w:val="restart"/>
            <w:vAlign w:val="center"/>
          </w:tcPr>
          <w:p>
            <w:pPr>
              <w:spacing w:line="240" w:lineRule="atLeast"/>
              <w:ind w:firstLine="28"/>
              <w:jc w:val="center"/>
              <w:rPr>
                <w:rFonts w:ascii="宋体" w:hAnsi="宋体" w:cs="宋体"/>
                <w:sz w:val="21"/>
                <w:szCs w:val="21"/>
              </w:rPr>
            </w:pPr>
            <w:r>
              <w:rPr>
                <w:rFonts w:hint="eastAsia" w:ascii="宋体" w:hAnsi="宋体" w:cs="宋体"/>
                <w:sz w:val="21"/>
                <w:szCs w:val="21"/>
              </w:rPr>
              <w:t>3</w:t>
            </w:r>
          </w:p>
        </w:tc>
        <w:tc>
          <w:tcPr>
            <w:tcW w:w="1113" w:type="dxa"/>
            <w:vMerge w:val="restart"/>
            <w:vAlign w:val="center"/>
          </w:tcPr>
          <w:p>
            <w:pPr>
              <w:adjustRightInd w:val="0"/>
              <w:snapToGrid w:val="0"/>
              <w:ind w:firstLine="28"/>
              <w:jc w:val="center"/>
              <w:rPr>
                <w:rFonts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35</w:t>
            </w:r>
            <w:r>
              <w:rPr>
                <w:rFonts w:hint="eastAsia" w:ascii="宋体" w:hAnsi="宋体" w:cs="宋体"/>
                <w:sz w:val="21"/>
                <w:szCs w:val="21"/>
              </w:rPr>
              <w:t>%）</w:t>
            </w:r>
          </w:p>
        </w:tc>
        <w:tc>
          <w:tcPr>
            <w:tcW w:w="1083" w:type="dxa"/>
            <w:vAlign w:val="center"/>
          </w:tcPr>
          <w:p>
            <w:pPr>
              <w:adjustRightInd w:val="0"/>
              <w:snapToGrid w:val="0"/>
              <w:ind w:firstLine="28"/>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10分</w:t>
            </w:r>
          </w:p>
        </w:tc>
        <w:tc>
          <w:tcPr>
            <w:tcW w:w="4475" w:type="dxa"/>
            <w:vAlign w:val="center"/>
          </w:tcPr>
          <w:p>
            <w:pPr>
              <w:adjustRightInd w:val="0"/>
              <w:snapToGrid w:val="0"/>
              <w:ind w:firstLine="28"/>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二</w:t>
            </w:r>
            <w:r>
              <w:rPr>
                <w:rFonts w:hint="eastAsia" w:ascii="宋体" w:hAnsi="宋体" w:cs="宋体"/>
                <w:color w:val="auto"/>
                <w:sz w:val="21"/>
                <w:szCs w:val="21"/>
              </w:rPr>
              <w:t>）服务团队成员（10分）</w:t>
            </w:r>
          </w:p>
          <w:p>
            <w:pPr>
              <w:adjustRightInd w:val="0"/>
              <w:snapToGrid w:val="0"/>
              <w:ind w:firstLine="28"/>
              <w:rPr>
                <w:color w:val="auto"/>
              </w:rPr>
            </w:pPr>
            <w:r>
              <w:rPr>
                <w:rFonts w:hint="eastAsia" w:ascii="宋体" w:hAnsi="宋体" w:cs="宋体"/>
                <w:color w:val="auto"/>
                <w:sz w:val="21"/>
                <w:szCs w:val="21"/>
                <w:lang w:eastAsia="zh-CN"/>
              </w:rPr>
              <w:t>对各供应商拟派实施团队在人员数量、搭配分工、社保</w:t>
            </w:r>
            <w:r>
              <w:rPr>
                <w:rFonts w:hint="eastAsia" w:ascii="宋体" w:hAnsi="宋体" w:cs="宋体"/>
                <w:color w:val="auto"/>
                <w:sz w:val="21"/>
                <w:szCs w:val="21"/>
                <w:lang w:val="en-US" w:eastAsia="zh-CN"/>
              </w:rPr>
              <w:t>缴</w:t>
            </w:r>
            <w:r>
              <w:rPr>
                <w:rFonts w:hint="eastAsia" w:ascii="宋体" w:hAnsi="宋体" w:cs="宋体"/>
                <w:color w:val="auto"/>
                <w:sz w:val="21"/>
                <w:szCs w:val="21"/>
                <w:lang w:eastAsia="zh-CN"/>
              </w:rPr>
              <w:t>纳证明、从业年限、资质水平、职称学历、相关证书、业绩经验等方面进行比较分析，优秀得</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分；良好得</w:t>
            </w:r>
            <w:r>
              <w:rPr>
                <w:rFonts w:hint="eastAsia" w:ascii="宋体" w:hAnsi="宋体" w:cs="宋体"/>
                <w:color w:val="auto"/>
                <w:sz w:val="21"/>
                <w:szCs w:val="21"/>
                <w:lang w:val="en-US" w:eastAsia="zh-CN"/>
              </w:rPr>
              <w:t>7分；一般得4分。</w:t>
            </w:r>
          </w:p>
        </w:tc>
        <w:tc>
          <w:tcPr>
            <w:tcW w:w="2412" w:type="dxa"/>
            <w:vAlign w:val="center"/>
          </w:tcPr>
          <w:p>
            <w:pPr>
              <w:adjustRightInd w:val="0"/>
              <w:snapToGrid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jc w:val="center"/>
        </w:trPr>
        <w:tc>
          <w:tcPr>
            <w:tcW w:w="577" w:type="dxa"/>
            <w:vMerge w:val="continue"/>
            <w:vAlign w:val="center"/>
          </w:tcPr>
          <w:p>
            <w:pPr>
              <w:spacing w:line="240" w:lineRule="atLeast"/>
              <w:ind w:firstLine="28"/>
              <w:jc w:val="center"/>
              <w:rPr>
                <w:rFonts w:ascii="宋体" w:hAnsi="宋体" w:cs="宋体"/>
                <w:sz w:val="21"/>
                <w:szCs w:val="21"/>
              </w:rPr>
            </w:pPr>
          </w:p>
        </w:tc>
        <w:tc>
          <w:tcPr>
            <w:tcW w:w="1113" w:type="dxa"/>
            <w:vMerge w:val="continue"/>
            <w:vAlign w:val="center"/>
          </w:tcPr>
          <w:p>
            <w:pPr>
              <w:adjustRightInd w:val="0"/>
              <w:snapToGrid w:val="0"/>
              <w:ind w:firstLine="28"/>
              <w:jc w:val="center"/>
              <w:rPr>
                <w:rFonts w:ascii="宋体" w:hAnsi="宋体" w:cs="宋体"/>
                <w:sz w:val="21"/>
                <w:szCs w:val="21"/>
              </w:rPr>
            </w:pPr>
          </w:p>
        </w:tc>
        <w:tc>
          <w:tcPr>
            <w:tcW w:w="1083" w:type="dxa"/>
            <w:vAlign w:val="center"/>
          </w:tcPr>
          <w:p>
            <w:pPr>
              <w:adjustRightInd w:val="0"/>
              <w:snapToGrid w:val="0"/>
              <w:ind w:firstLine="28"/>
              <w:jc w:val="center"/>
              <w:rPr>
                <w:rFonts w:ascii="宋体" w:hAnsi="宋体" w:cs="宋体"/>
                <w:sz w:val="21"/>
                <w:szCs w:val="21"/>
              </w:rPr>
            </w:pPr>
            <w:r>
              <w:rPr>
                <w:rFonts w:hint="eastAsia" w:ascii="宋体" w:hAnsi="宋体" w:cs="宋体"/>
                <w:sz w:val="21"/>
                <w:szCs w:val="21"/>
                <w:lang w:val="en-US" w:eastAsia="zh-CN"/>
              </w:rPr>
              <w:t>25</w:t>
            </w:r>
            <w:r>
              <w:rPr>
                <w:rFonts w:hint="eastAsia" w:ascii="宋体" w:hAnsi="宋体" w:cs="宋体"/>
                <w:sz w:val="21"/>
                <w:szCs w:val="21"/>
              </w:rPr>
              <w:t>分</w:t>
            </w:r>
          </w:p>
        </w:tc>
        <w:tc>
          <w:tcPr>
            <w:tcW w:w="4475" w:type="dxa"/>
            <w:vAlign w:val="center"/>
          </w:tcPr>
          <w:p>
            <w:pPr>
              <w:adjustRightInd w:val="0"/>
              <w:snapToGrid w:val="0"/>
              <w:ind w:firstLine="28"/>
              <w:rPr>
                <w:rFonts w:hint="eastAsia" w:ascii="宋体" w:hAnsi="宋体" w:cs="宋体"/>
                <w:color w:val="auto"/>
                <w:sz w:val="21"/>
                <w:szCs w:val="21"/>
                <w:lang w:eastAsia="zh-CN"/>
              </w:rPr>
            </w:pPr>
            <w:r>
              <w:rPr>
                <w:rFonts w:hint="eastAsia" w:ascii="宋体" w:hAnsi="宋体" w:cs="宋体"/>
                <w:color w:val="auto"/>
                <w:sz w:val="21"/>
                <w:szCs w:val="21"/>
                <w:lang w:eastAsia="zh-CN"/>
              </w:rPr>
              <w:t>（四）</w:t>
            </w:r>
            <w:r>
              <w:rPr>
                <w:rFonts w:hint="eastAsia" w:ascii="宋体" w:hAnsi="宋体" w:cs="宋体"/>
                <w:color w:val="auto"/>
                <w:sz w:val="21"/>
                <w:szCs w:val="21"/>
                <w:lang w:val="en-US" w:eastAsia="zh-CN"/>
              </w:rPr>
              <w:t>庆典活动</w:t>
            </w:r>
            <w:r>
              <w:rPr>
                <w:rFonts w:hint="eastAsia" w:ascii="宋体" w:hAnsi="宋体" w:cs="宋体"/>
                <w:color w:val="auto"/>
                <w:sz w:val="21"/>
                <w:szCs w:val="21"/>
                <w:lang w:eastAsia="zh-CN"/>
              </w:rPr>
              <w:t>类案例（</w:t>
            </w:r>
            <w:r>
              <w:rPr>
                <w:rFonts w:hint="eastAsia" w:ascii="宋体" w:hAnsi="宋体" w:cs="宋体"/>
                <w:color w:val="auto"/>
                <w:sz w:val="21"/>
                <w:szCs w:val="21"/>
                <w:lang w:val="en-US" w:eastAsia="zh-CN"/>
              </w:rPr>
              <w:t>25</w:t>
            </w:r>
            <w:r>
              <w:rPr>
                <w:rFonts w:hint="eastAsia" w:ascii="宋体" w:hAnsi="宋体" w:cs="宋体"/>
                <w:color w:val="auto"/>
                <w:sz w:val="21"/>
                <w:szCs w:val="21"/>
                <w:lang w:eastAsia="zh-CN"/>
              </w:rPr>
              <w:t>分）</w:t>
            </w:r>
          </w:p>
          <w:p>
            <w:pPr>
              <w:adjustRightInd w:val="0"/>
              <w:snapToGrid w:val="0"/>
              <w:ind w:firstLine="28"/>
              <w:rPr>
                <w:rFonts w:ascii="宋体" w:hAnsi="宋体" w:cs="宋体"/>
                <w:color w:val="FF0000"/>
                <w:sz w:val="21"/>
                <w:szCs w:val="21"/>
              </w:rPr>
            </w:pPr>
            <w:r>
              <w:rPr>
                <w:rFonts w:hint="eastAsia" w:ascii="宋体" w:hAnsi="宋体" w:cs="宋体"/>
                <w:color w:val="auto"/>
                <w:sz w:val="21"/>
                <w:szCs w:val="21"/>
                <w:lang w:eastAsia="zh-CN"/>
              </w:rPr>
              <w:t>供应商自</w:t>
            </w:r>
            <w:r>
              <w:rPr>
                <w:rFonts w:hint="eastAsia" w:ascii="宋体" w:hAnsi="宋体" w:cs="宋体"/>
                <w:color w:val="auto"/>
                <w:sz w:val="21"/>
                <w:szCs w:val="21"/>
                <w:lang w:val="en-US" w:eastAsia="zh-CN"/>
              </w:rPr>
              <w:t>2017</w:t>
            </w:r>
            <w:r>
              <w:rPr>
                <w:rFonts w:hint="eastAsia" w:ascii="宋体" w:hAnsi="宋体" w:cs="宋体"/>
                <w:color w:val="auto"/>
                <w:sz w:val="21"/>
                <w:szCs w:val="21"/>
                <w:lang w:eastAsia="zh-CN"/>
              </w:rPr>
              <w:t>年1月1日至今承办过类似的合同金额达100万元及以上活动方案策划及执行服务项目的，一个得</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分，最高得</w:t>
            </w:r>
            <w:r>
              <w:rPr>
                <w:rFonts w:hint="eastAsia" w:ascii="宋体" w:hAnsi="宋体" w:cs="宋体"/>
                <w:color w:val="auto"/>
                <w:sz w:val="21"/>
                <w:szCs w:val="21"/>
                <w:lang w:val="en-US" w:eastAsia="zh-CN"/>
              </w:rPr>
              <w:t>25</w:t>
            </w:r>
            <w:r>
              <w:rPr>
                <w:rFonts w:hint="eastAsia" w:ascii="宋体" w:hAnsi="宋体" w:cs="宋体"/>
                <w:color w:val="auto"/>
                <w:sz w:val="21"/>
                <w:szCs w:val="21"/>
                <w:lang w:eastAsia="zh-CN"/>
              </w:rPr>
              <w:t>分。未提供不得分。</w:t>
            </w:r>
            <w:r>
              <w:rPr>
                <w:rFonts w:hint="eastAsia" w:ascii="宋体" w:hAnsi="宋体" w:cs="宋体"/>
                <w:color w:val="auto"/>
                <w:sz w:val="21"/>
                <w:szCs w:val="21"/>
                <w:lang w:eastAsia="zh-Hans"/>
              </w:rPr>
              <w:t>每提供一个案例得</w:t>
            </w:r>
            <w:r>
              <w:rPr>
                <w:rFonts w:hint="eastAsia" w:ascii="宋体" w:hAnsi="宋体" w:cs="宋体"/>
                <w:color w:val="auto"/>
                <w:sz w:val="21"/>
                <w:szCs w:val="21"/>
                <w:lang w:val="en-US" w:eastAsia="zh-CN"/>
              </w:rPr>
              <w:t>5</w:t>
            </w:r>
            <w:r>
              <w:rPr>
                <w:rFonts w:hint="eastAsia" w:ascii="宋体" w:hAnsi="宋体" w:cs="宋体"/>
                <w:color w:val="auto"/>
                <w:sz w:val="21"/>
                <w:szCs w:val="21"/>
                <w:lang w:eastAsia="zh-Hans"/>
              </w:rPr>
              <w:t>分</w:t>
            </w:r>
            <w:r>
              <w:rPr>
                <w:rFonts w:hint="eastAsia" w:ascii="宋体" w:hAnsi="宋体" w:cs="宋体"/>
                <w:color w:val="auto"/>
                <w:sz w:val="21"/>
                <w:szCs w:val="21"/>
                <w:lang w:eastAsia="zh-CN"/>
              </w:rPr>
              <w:t>。提供的证明材料均不得涂改遮挡，如有因与该案例采购人签有保密协议而确需遮挡关键信息的情况，须同时提交保密协议复印件，否则不予认定得分。</w:t>
            </w:r>
          </w:p>
        </w:tc>
        <w:tc>
          <w:tcPr>
            <w:tcW w:w="2412" w:type="dxa"/>
            <w:vAlign w:val="center"/>
          </w:tcPr>
          <w:p>
            <w:pPr>
              <w:adjustRightInd w:val="0"/>
              <w:snapToGrid w:val="0"/>
              <w:rPr>
                <w:rFonts w:ascii="宋体" w:hAnsi="宋体" w:cs="宋体"/>
                <w:sz w:val="21"/>
                <w:szCs w:val="21"/>
              </w:rPr>
            </w:pPr>
          </w:p>
        </w:tc>
      </w:tr>
    </w:tbl>
    <w:p>
      <w:pPr>
        <w:spacing w:line="440" w:lineRule="exact"/>
        <w:ind w:firstLine="480" w:firstLineChars="200"/>
        <w:rPr>
          <w:rFonts w:ascii="宋体" w:hAnsi="宋体" w:cs="宋体"/>
          <w:sz w:val="24"/>
        </w:rPr>
      </w:pPr>
      <w:r>
        <w:rPr>
          <w:rFonts w:ascii="宋体" w:hAnsi="宋体" w:cs="宋体"/>
          <w:sz w:val="24"/>
        </w:rPr>
        <w:t>说明：磋商小组认为，排名在前面的</w:t>
      </w:r>
      <w:r>
        <w:rPr>
          <w:rFonts w:hint="eastAsia" w:ascii="宋体" w:hAnsi="宋体" w:cs="宋体"/>
          <w:sz w:val="24"/>
        </w:rPr>
        <w:t>成交</w:t>
      </w:r>
      <w:r>
        <w:rPr>
          <w:rFonts w:ascii="宋体" w:hAnsi="宋体" w:cs="宋体"/>
          <w:sz w:val="24"/>
        </w:rPr>
        <w:t>候选人的</w:t>
      </w:r>
      <w:r>
        <w:rPr>
          <w:rFonts w:hint="eastAsia" w:ascii="宋体" w:hAnsi="宋体" w:cs="宋体"/>
          <w:sz w:val="24"/>
        </w:rPr>
        <w:t>磋商</w:t>
      </w:r>
      <w:r>
        <w:rPr>
          <w:rFonts w:ascii="宋体" w:hAnsi="宋体" w:cs="宋体"/>
          <w:sz w:val="24"/>
        </w:rPr>
        <w:t>报价或者某些分项报价明显不合理或者低于成本，有可能影响服务质量和不能诚信履约的，将要求其在规定的期限内提供书面文件予以解释说明，并提交相关证明材料；否则，磋商小组可以取消该</w:t>
      </w:r>
      <w:r>
        <w:rPr>
          <w:rFonts w:hint="eastAsia" w:ascii="宋体" w:hAnsi="宋体" w:cs="宋体"/>
          <w:sz w:val="24"/>
        </w:rPr>
        <w:t>成交</w:t>
      </w:r>
      <w:r>
        <w:rPr>
          <w:rFonts w:ascii="宋体" w:hAnsi="宋体" w:cs="宋体"/>
          <w:sz w:val="24"/>
        </w:rPr>
        <w:t>候选人资格，按顺序由排在后一位的</w:t>
      </w:r>
      <w:r>
        <w:rPr>
          <w:rFonts w:hint="eastAsia" w:ascii="宋体" w:hAnsi="宋体" w:cs="宋体"/>
          <w:sz w:val="24"/>
        </w:rPr>
        <w:t>成交</w:t>
      </w:r>
      <w:r>
        <w:rPr>
          <w:rFonts w:ascii="宋体" w:hAnsi="宋体" w:cs="宋体"/>
          <w:sz w:val="24"/>
        </w:rPr>
        <w:t>候选人递补，以此类推。</w:t>
      </w:r>
    </w:p>
    <w:p>
      <w:pPr>
        <w:keepNext/>
        <w:keepLines/>
        <w:spacing w:line="440" w:lineRule="exact"/>
        <w:ind w:firstLine="482" w:firstLineChars="200"/>
        <w:outlineLvl w:val="1"/>
        <w:rPr>
          <w:rFonts w:ascii="宋体" w:hAnsi="宋体" w:cs="宋体"/>
          <w:b/>
          <w:sz w:val="24"/>
        </w:rPr>
      </w:pPr>
      <w:bookmarkStart w:id="52" w:name="_Toc26183"/>
      <w:bookmarkStart w:id="53" w:name="_Toc22059"/>
      <w:bookmarkStart w:id="54" w:name="_Toc24253"/>
      <w:r>
        <w:rPr>
          <w:rFonts w:ascii="宋体" w:hAnsi="宋体" w:cs="宋体"/>
          <w:b/>
          <w:sz w:val="24"/>
        </w:rPr>
        <w:t>三、无效响应</w:t>
      </w:r>
      <w:bookmarkEnd w:id="52"/>
      <w:bookmarkEnd w:id="53"/>
      <w:bookmarkEnd w:id="54"/>
    </w:p>
    <w:p>
      <w:pPr>
        <w:spacing w:line="440" w:lineRule="exact"/>
        <w:ind w:firstLine="480" w:firstLineChars="200"/>
        <w:rPr>
          <w:rFonts w:ascii="宋体" w:hAnsi="宋体" w:cs="宋体"/>
          <w:sz w:val="24"/>
        </w:rPr>
      </w:pPr>
      <w:r>
        <w:rPr>
          <w:rFonts w:ascii="宋体" w:hAnsi="宋体" w:cs="宋体"/>
          <w:sz w:val="24"/>
        </w:rPr>
        <w:t>供应商发生以下条款情况之一者，视为无效响应，其响应文件将被拒绝：</w:t>
      </w:r>
    </w:p>
    <w:p>
      <w:pPr>
        <w:spacing w:line="440" w:lineRule="exact"/>
        <w:ind w:firstLine="480" w:firstLineChars="200"/>
        <w:rPr>
          <w:rFonts w:ascii="宋体" w:hAnsi="宋体" w:cs="宋体"/>
          <w:sz w:val="24"/>
        </w:rPr>
      </w:pPr>
      <w:r>
        <w:rPr>
          <w:rFonts w:ascii="宋体" w:hAnsi="宋体" w:cs="宋体"/>
          <w:sz w:val="24"/>
        </w:rPr>
        <w:t>（一）供应商不符合规定的基本资格条件或特定资格条件的；</w:t>
      </w:r>
    </w:p>
    <w:p>
      <w:pPr>
        <w:spacing w:line="440" w:lineRule="exact"/>
        <w:ind w:firstLine="480" w:firstLineChars="200"/>
        <w:rPr>
          <w:rFonts w:ascii="宋体" w:hAnsi="宋体" w:cs="宋体"/>
          <w:sz w:val="24"/>
        </w:rPr>
      </w:pPr>
      <w:r>
        <w:rPr>
          <w:rFonts w:ascii="宋体" w:hAnsi="宋体" w:cs="宋体"/>
          <w:sz w:val="24"/>
        </w:rPr>
        <w:t>（二）供应商未按磋商文件规定购买磋商文件的；</w:t>
      </w:r>
    </w:p>
    <w:p>
      <w:pPr>
        <w:spacing w:line="440" w:lineRule="exact"/>
        <w:ind w:firstLine="480" w:firstLineChars="200"/>
        <w:rPr>
          <w:rFonts w:ascii="宋体" w:hAnsi="宋体" w:cs="宋体"/>
          <w:sz w:val="24"/>
        </w:rPr>
      </w:pPr>
      <w:r>
        <w:rPr>
          <w:rFonts w:ascii="宋体" w:hAnsi="宋体" w:cs="宋体"/>
          <w:sz w:val="24"/>
        </w:rPr>
        <w:t>（三）供应商的法定代表人或其授权代表未参加磋商；</w:t>
      </w:r>
    </w:p>
    <w:p>
      <w:pPr>
        <w:spacing w:line="440" w:lineRule="exact"/>
        <w:ind w:firstLine="480" w:firstLineChars="200"/>
        <w:rPr>
          <w:rFonts w:ascii="宋体" w:hAnsi="宋体" w:cs="宋体"/>
          <w:sz w:val="24"/>
        </w:rPr>
      </w:pPr>
      <w:r>
        <w:rPr>
          <w:rFonts w:ascii="宋体" w:hAnsi="宋体" w:cs="宋体"/>
          <w:sz w:val="24"/>
        </w:rPr>
        <w:t>（四）供应商所提交的响应文件不按第七篇“响应文件编制要求”规定签字、盖章；</w:t>
      </w:r>
    </w:p>
    <w:p>
      <w:pPr>
        <w:spacing w:line="440" w:lineRule="exact"/>
        <w:ind w:firstLine="480" w:firstLineChars="200"/>
        <w:rPr>
          <w:rFonts w:ascii="宋体" w:hAnsi="宋体" w:cs="宋体"/>
          <w:sz w:val="24"/>
        </w:rPr>
      </w:pPr>
      <w:r>
        <w:rPr>
          <w:rFonts w:ascii="宋体" w:hAnsi="宋体" w:cs="宋体"/>
          <w:sz w:val="24"/>
        </w:rPr>
        <w:t>（五）供应商的最后报价超过采购预算的；</w:t>
      </w:r>
    </w:p>
    <w:p>
      <w:pPr>
        <w:spacing w:line="440" w:lineRule="exact"/>
        <w:ind w:firstLine="480" w:firstLineChars="200"/>
        <w:rPr>
          <w:rFonts w:ascii="宋体" w:hAnsi="宋体" w:cs="宋体"/>
          <w:sz w:val="24"/>
        </w:rPr>
      </w:pPr>
      <w:r>
        <w:rPr>
          <w:rFonts w:ascii="宋体" w:hAnsi="宋体" w:cs="宋体"/>
          <w:sz w:val="24"/>
        </w:rPr>
        <w:t>（六）法定代表人为同一个人的两个及两个以上法人，母公司、全资子公司及其控股公司，在同一分包采购中同时参与磋商；</w:t>
      </w:r>
    </w:p>
    <w:p>
      <w:pPr>
        <w:spacing w:line="440" w:lineRule="exact"/>
        <w:ind w:firstLine="480" w:firstLineChars="200"/>
        <w:rPr>
          <w:rFonts w:ascii="宋体" w:hAnsi="宋体" w:cs="宋体"/>
          <w:sz w:val="24"/>
        </w:rPr>
      </w:pPr>
      <w:r>
        <w:rPr>
          <w:rFonts w:ascii="宋体" w:hAnsi="宋体" w:cs="宋体"/>
          <w:sz w:val="24"/>
        </w:rPr>
        <w:t>（七）单位负责人为同一人或者存在直接控股、管理关系的不同供应商，参加同一合同项下的政府采购活动的；</w:t>
      </w:r>
    </w:p>
    <w:p>
      <w:pPr>
        <w:spacing w:line="440" w:lineRule="exact"/>
        <w:ind w:firstLine="480" w:firstLineChars="200"/>
        <w:rPr>
          <w:rFonts w:ascii="宋体" w:hAnsi="宋体" w:cs="宋体"/>
          <w:sz w:val="24"/>
        </w:rPr>
      </w:pPr>
      <w:r>
        <w:rPr>
          <w:rFonts w:ascii="宋体" w:hAnsi="宋体" w:cs="宋体"/>
          <w:sz w:val="24"/>
        </w:rPr>
        <w:t>（八）为采购项目提供整体设计、规范编制或者项目管理、监理、检测等服务的供应商，再参加该采购项目的其他采购活动；</w:t>
      </w:r>
    </w:p>
    <w:p>
      <w:pPr>
        <w:spacing w:line="440" w:lineRule="exact"/>
        <w:ind w:firstLine="480" w:firstLineChars="200"/>
        <w:rPr>
          <w:rFonts w:ascii="宋体" w:hAnsi="宋体" w:cs="宋体"/>
          <w:sz w:val="24"/>
        </w:rPr>
      </w:pPr>
      <w:r>
        <w:rPr>
          <w:rFonts w:ascii="宋体" w:hAnsi="宋体" w:cs="宋体"/>
          <w:sz w:val="24"/>
        </w:rPr>
        <w:t>（九）供应商磋商有效期不满足竞争性磋商文件要求的；</w:t>
      </w:r>
    </w:p>
    <w:p>
      <w:pPr>
        <w:spacing w:line="440" w:lineRule="exact"/>
        <w:ind w:firstLine="480" w:firstLineChars="200"/>
        <w:rPr>
          <w:rFonts w:ascii="宋体" w:hAnsi="宋体" w:cs="宋体"/>
          <w:sz w:val="24"/>
        </w:rPr>
      </w:pPr>
      <w:r>
        <w:rPr>
          <w:rFonts w:ascii="宋体" w:hAnsi="宋体" w:cs="宋体"/>
          <w:sz w:val="24"/>
        </w:rPr>
        <w:t>（十）供应商响应文件内容有与国家现行法律法规相违背的内容，或附有采购人无法接受的条件。</w:t>
      </w:r>
    </w:p>
    <w:p>
      <w:pPr>
        <w:spacing w:line="440" w:lineRule="exact"/>
        <w:ind w:firstLine="480" w:firstLineChars="200"/>
        <w:rPr>
          <w:rFonts w:ascii="宋体" w:hAnsi="宋体" w:cs="宋体"/>
          <w:sz w:val="24"/>
        </w:rPr>
      </w:pPr>
      <w:r>
        <w:rPr>
          <w:rFonts w:ascii="宋体" w:hAnsi="宋体" w:cs="宋体"/>
          <w:sz w:val="24"/>
        </w:rPr>
        <w:t>（十一）供应商被列入失信被执行人、重大税收违法案件当事人名单、政府采购严重违法失信行为记录名单及其他不符合《中华人民共和国政府采购法》第二十二条规定条件的。</w:t>
      </w:r>
    </w:p>
    <w:p>
      <w:pPr>
        <w:keepNext/>
        <w:keepLines/>
        <w:spacing w:line="440" w:lineRule="exact"/>
        <w:ind w:firstLine="482" w:firstLineChars="200"/>
        <w:outlineLvl w:val="1"/>
        <w:rPr>
          <w:rFonts w:ascii="宋体" w:hAnsi="宋体" w:cs="宋体"/>
          <w:b/>
          <w:sz w:val="24"/>
        </w:rPr>
      </w:pPr>
      <w:bookmarkStart w:id="55" w:name="_Toc667"/>
      <w:bookmarkStart w:id="56" w:name="_Toc13451"/>
      <w:bookmarkStart w:id="57" w:name="_Toc22158"/>
      <w:r>
        <w:rPr>
          <w:rFonts w:ascii="宋体" w:hAnsi="宋体" w:cs="宋体"/>
          <w:b/>
          <w:sz w:val="24"/>
        </w:rPr>
        <w:t>四、采购终止</w:t>
      </w:r>
      <w:bookmarkEnd w:id="55"/>
      <w:bookmarkEnd w:id="56"/>
      <w:bookmarkEnd w:id="57"/>
    </w:p>
    <w:p>
      <w:pPr>
        <w:spacing w:line="440" w:lineRule="exact"/>
        <w:ind w:firstLine="480" w:firstLineChars="200"/>
        <w:rPr>
          <w:rFonts w:ascii="宋体" w:hAnsi="宋体" w:cs="宋体"/>
          <w:sz w:val="24"/>
        </w:rPr>
      </w:pPr>
      <w:r>
        <w:rPr>
          <w:rFonts w:ascii="宋体" w:hAnsi="宋体" w:cs="宋体"/>
          <w:sz w:val="24"/>
        </w:rPr>
        <w:t>出现下列情形之一的，采购人或者采购代理机构应当终止竞争性磋商采购活动，发布项目终止公告并说明原因，重新开展采购活动：</w:t>
      </w:r>
    </w:p>
    <w:p>
      <w:pPr>
        <w:spacing w:line="440" w:lineRule="exact"/>
        <w:ind w:firstLine="480" w:firstLineChars="200"/>
        <w:rPr>
          <w:rFonts w:ascii="宋体" w:hAnsi="宋体" w:cs="宋体"/>
          <w:sz w:val="24"/>
        </w:rPr>
      </w:pPr>
      <w:r>
        <w:rPr>
          <w:rFonts w:ascii="宋体" w:hAnsi="宋体" w:cs="宋体"/>
          <w:sz w:val="24"/>
        </w:rPr>
        <w:t>（一）因情况变化，不再符合规定的竞争性磋商采购方式适用情形的；</w:t>
      </w:r>
    </w:p>
    <w:p>
      <w:pPr>
        <w:spacing w:line="440" w:lineRule="exact"/>
        <w:ind w:firstLine="480" w:firstLineChars="200"/>
        <w:rPr>
          <w:rFonts w:ascii="宋体" w:hAnsi="宋体" w:cs="宋体"/>
          <w:sz w:val="24"/>
        </w:rPr>
      </w:pPr>
      <w:r>
        <w:rPr>
          <w:rFonts w:ascii="宋体" w:hAnsi="宋体" w:cs="宋体"/>
          <w:sz w:val="24"/>
        </w:rPr>
        <w:t>（二）出现影响采购公正的违法、违规行为的；</w:t>
      </w:r>
    </w:p>
    <w:p>
      <w:pPr>
        <w:spacing w:line="440" w:lineRule="exact"/>
        <w:ind w:firstLine="480" w:firstLineChars="200"/>
        <w:rPr>
          <w:rFonts w:ascii="宋体" w:hAnsi="宋体" w:cs="宋体"/>
          <w:sz w:val="24"/>
        </w:rPr>
      </w:pPr>
      <w:r>
        <w:rPr>
          <w:rFonts w:hint="eastAsia" w:ascii="宋体" w:hAnsi="宋体" w:cs="宋体"/>
          <w:sz w:val="24"/>
        </w:rPr>
        <w:t>（三）在采购过程中符合要求的供应商或者报价未超过采购预算的供应商不足3家的，但《政府采购竞争性磋商采购方式管理暂行办法》第二十一条第三款规定及（财库〔2015〕124号）的情形除外。</w:t>
      </w:r>
    </w:p>
    <w:p>
      <w:pPr>
        <w:pStyle w:val="50"/>
      </w:pPr>
      <w:bookmarkStart w:id="58" w:name="_Toc20237"/>
      <w:bookmarkStart w:id="59" w:name="_Toc25334"/>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keepNext/>
        <w:keepLines/>
        <w:spacing w:line="440" w:lineRule="exact"/>
        <w:ind w:left="560" w:firstLine="720" w:firstLineChars="200"/>
        <w:jc w:val="center"/>
        <w:outlineLvl w:val="0"/>
        <w:rPr>
          <w:rFonts w:ascii="宋体" w:hAnsi="宋体" w:cs="宋体"/>
          <w:sz w:val="32"/>
        </w:rPr>
      </w:pPr>
      <w:bookmarkStart w:id="60" w:name="_Toc28568"/>
      <w:r>
        <w:rPr>
          <w:rFonts w:ascii="宋体" w:hAnsi="宋体" w:cs="宋体"/>
          <w:sz w:val="36"/>
        </w:rPr>
        <w:t>第五篇供应商须知</w:t>
      </w:r>
      <w:bookmarkEnd w:id="58"/>
      <w:bookmarkEnd w:id="59"/>
      <w:bookmarkEnd w:id="60"/>
    </w:p>
    <w:p>
      <w:pPr>
        <w:keepNext/>
        <w:keepLines/>
        <w:spacing w:line="440" w:lineRule="exact"/>
        <w:ind w:firstLine="482" w:firstLineChars="200"/>
        <w:outlineLvl w:val="1"/>
        <w:rPr>
          <w:rFonts w:ascii="宋体" w:hAnsi="宋体" w:cs="宋体"/>
          <w:b/>
          <w:sz w:val="24"/>
          <w:szCs w:val="24"/>
        </w:rPr>
      </w:pPr>
      <w:bookmarkStart w:id="61" w:name="_Toc6899"/>
      <w:bookmarkStart w:id="62" w:name="_Toc7123"/>
      <w:r>
        <w:rPr>
          <w:rFonts w:hint="eastAsia" w:ascii="宋体" w:hAnsi="宋体" w:cs="宋体"/>
          <w:b/>
          <w:sz w:val="24"/>
          <w:szCs w:val="24"/>
        </w:rPr>
        <w:t>一、磋商费用</w:t>
      </w:r>
      <w:bookmarkEnd w:id="61"/>
      <w:bookmarkEnd w:id="62"/>
    </w:p>
    <w:p>
      <w:pPr>
        <w:spacing w:line="440" w:lineRule="exact"/>
        <w:ind w:firstLine="480" w:firstLineChars="200"/>
        <w:rPr>
          <w:rFonts w:ascii="宋体" w:hAnsi="宋体" w:cs="宋体"/>
          <w:sz w:val="24"/>
          <w:szCs w:val="24"/>
        </w:rPr>
      </w:pPr>
      <w:r>
        <w:rPr>
          <w:rFonts w:hint="eastAsia" w:ascii="宋体" w:hAnsi="宋体" w:cs="宋体"/>
          <w:sz w:val="24"/>
          <w:szCs w:val="24"/>
        </w:rPr>
        <w:t>参与磋商的供应商应承担其编制响应文件与递交响应文件所涉及的一切费用，不论磋商结果如何，采购人和采购代理机构在任何情况下无义务也无责任承担这些费用。</w:t>
      </w:r>
    </w:p>
    <w:p>
      <w:pPr>
        <w:keepNext/>
        <w:keepLines/>
        <w:tabs>
          <w:tab w:val="left" w:pos="2640"/>
        </w:tabs>
        <w:spacing w:line="440" w:lineRule="exact"/>
        <w:ind w:firstLine="482" w:firstLineChars="200"/>
        <w:outlineLvl w:val="1"/>
        <w:rPr>
          <w:rFonts w:ascii="宋体" w:hAnsi="宋体" w:cs="宋体"/>
          <w:b/>
          <w:sz w:val="24"/>
          <w:szCs w:val="24"/>
        </w:rPr>
      </w:pPr>
      <w:bookmarkStart w:id="63" w:name="_Toc3498"/>
      <w:bookmarkStart w:id="64" w:name="_Toc13727"/>
      <w:r>
        <w:rPr>
          <w:rFonts w:hint="eastAsia" w:ascii="宋体" w:hAnsi="宋体" w:cs="宋体"/>
          <w:b/>
          <w:sz w:val="24"/>
          <w:szCs w:val="24"/>
        </w:rPr>
        <w:t>二、竞争性磋商文件</w:t>
      </w:r>
      <w:bookmarkEnd w:id="63"/>
      <w:bookmarkEnd w:id="64"/>
    </w:p>
    <w:p>
      <w:pPr>
        <w:spacing w:line="440" w:lineRule="exact"/>
        <w:ind w:firstLine="480" w:firstLineChars="200"/>
        <w:rPr>
          <w:rFonts w:ascii="宋体" w:hAnsi="宋体" w:cs="宋体"/>
          <w:sz w:val="24"/>
          <w:szCs w:val="24"/>
        </w:rPr>
      </w:pPr>
      <w:r>
        <w:rPr>
          <w:rFonts w:hint="eastAsia" w:ascii="宋体" w:hAnsi="宋体" w:cs="宋体"/>
          <w:sz w:val="24"/>
          <w:szCs w:val="24"/>
        </w:rPr>
        <w:t>（一）竞争性磋商文件由采购邀请书；项目服务需求；项目商务需求；磋商程序及方法、评审标准、无效响应和采购终止；供应商须知</w:t>
      </w:r>
      <w:r>
        <w:rPr>
          <w:rFonts w:hint="eastAsia" w:ascii="宋体" w:hAnsi="宋体" w:cs="宋体"/>
          <w:b/>
          <w:sz w:val="24"/>
          <w:szCs w:val="24"/>
        </w:rPr>
        <w:t>；</w:t>
      </w:r>
      <w:r>
        <w:rPr>
          <w:rFonts w:hint="eastAsia" w:ascii="宋体" w:hAnsi="宋体" w:cs="宋体"/>
          <w:sz w:val="24"/>
          <w:szCs w:val="24"/>
        </w:rPr>
        <w:t>政府采购合同</w:t>
      </w:r>
      <w:r>
        <w:rPr>
          <w:rFonts w:hint="eastAsia" w:ascii="宋体" w:hAnsi="宋体" w:cs="宋体"/>
          <w:b/>
          <w:sz w:val="24"/>
          <w:szCs w:val="24"/>
        </w:rPr>
        <w:t>；</w:t>
      </w:r>
      <w:r>
        <w:rPr>
          <w:rFonts w:hint="eastAsia" w:ascii="宋体" w:hAnsi="宋体" w:cs="宋体"/>
          <w:sz w:val="24"/>
          <w:szCs w:val="24"/>
        </w:rPr>
        <w:t>响应文件编制要求七部分组成。</w:t>
      </w:r>
    </w:p>
    <w:p>
      <w:pPr>
        <w:spacing w:line="440" w:lineRule="exact"/>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pPr>
        <w:spacing w:line="440" w:lineRule="exact"/>
        <w:ind w:firstLine="480" w:firstLineChars="200"/>
        <w:rPr>
          <w:rFonts w:ascii="宋体" w:hAnsi="宋体" w:cs="宋体"/>
          <w:sz w:val="24"/>
          <w:szCs w:val="24"/>
        </w:rPr>
      </w:pPr>
      <w:r>
        <w:rPr>
          <w:rFonts w:hint="eastAsia" w:ascii="宋体" w:hAnsi="宋体" w:cs="宋体"/>
          <w:sz w:val="24"/>
          <w:szCs w:val="24"/>
        </w:rPr>
        <w:t>（三）竞争性磋商文件的解释</w:t>
      </w:r>
    </w:p>
    <w:p>
      <w:pPr>
        <w:spacing w:line="440" w:lineRule="exact"/>
        <w:ind w:firstLine="480" w:firstLineChars="200"/>
        <w:rPr>
          <w:rFonts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40" w:lineRule="exact"/>
        <w:ind w:firstLine="480" w:firstLineChars="200"/>
        <w:rPr>
          <w:rFonts w:ascii="宋体" w:hAnsi="宋体" w:cs="宋体"/>
          <w:sz w:val="24"/>
          <w:szCs w:val="24"/>
        </w:rPr>
      </w:pPr>
      <w:r>
        <w:rPr>
          <w:rFonts w:hint="eastAsia" w:ascii="宋体" w:hAnsi="宋体" w:cs="宋体"/>
          <w:sz w:val="24"/>
          <w:szCs w:val="24"/>
        </w:rPr>
        <w:t>（四）本竞争性磋商文件中，磋商小组根据与供应商进行磋商可能实质性变动的内容为竞争性磋商文件第二、三篇全部内容。</w:t>
      </w:r>
    </w:p>
    <w:p>
      <w:pPr>
        <w:spacing w:line="440" w:lineRule="exact"/>
        <w:ind w:firstLine="480" w:firstLineChars="200"/>
        <w:rPr>
          <w:rFonts w:ascii="宋体" w:hAnsi="宋体" w:cs="宋体"/>
          <w:sz w:val="24"/>
          <w:szCs w:val="24"/>
        </w:rPr>
      </w:pPr>
      <w:r>
        <w:rPr>
          <w:rFonts w:hint="eastAsia" w:ascii="宋体" w:hAnsi="宋体" w:cs="宋体"/>
          <w:sz w:val="24"/>
          <w:szCs w:val="24"/>
        </w:rPr>
        <w:t>（五）评审的依据为竞争性磋商文件和响应文件（含有效的书面承诺）。磋商小组判断响应文件对竞争性磋商文件的响应，仅基于响应文件本身而不靠外部证据。</w:t>
      </w:r>
    </w:p>
    <w:p>
      <w:pPr>
        <w:keepNext/>
        <w:keepLines/>
        <w:spacing w:line="440" w:lineRule="exact"/>
        <w:ind w:firstLine="482" w:firstLineChars="200"/>
        <w:outlineLvl w:val="1"/>
        <w:rPr>
          <w:rFonts w:ascii="宋体" w:hAnsi="宋体" w:cs="宋体"/>
          <w:b/>
          <w:sz w:val="24"/>
          <w:szCs w:val="24"/>
        </w:rPr>
      </w:pPr>
      <w:bookmarkStart w:id="65" w:name="_Toc25728"/>
      <w:bookmarkStart w:id="66" w:name="_Toc3745"/>
      <w:r>
        <w:rPr>
          <w:rFonts w:hint="eastAsia" w:ascii="宋体" w:hAnsi="宋体" w:cs="宋体"/>
          <w:b/>
          <w:sz w:val="24"/>
          <w:szCs w:val="24"/>
        </w:rPr>
        <w:t>三、磋商要求</w:t>
      </w:r>
      <w:bookmarkEnd w:id="65"/>
      <w:bookmarkEnd w:id="66"/>
    </w:p>
    <w:p>
      <w:pPr>
        <w:spacing w:line="440" w:lineRule="exact"/>
        <w:ind w:firstLine="480" w:firstLineChars="200"/>
        <w:rPr>
          <w:rFonts w:ascii="宋体" w:hAnsi="宋体" w:cs="宋体"/>
          <w:sz w:val="24"/>
          <w:szCs w:val="24"/>
        </w:rPr>
      </w:pPr>
      <w:r>
        <w:rPr>
          <w:rFonts w:hint="eastAsia" w:ascii="宋体" w:hAnsi="宋体" w:cs="宋体"/>
          <w:sz w:val="24"/>
          <w:szCs w:val="24"/>
        </w:rPr>
        <w:t>（一）响应文件</w:t>
      </w:r>
    </w:p>
    <w:p>
      <w:pPr>
        <w:spacing w:line="440" w:lineRule="exact"/>
        <w:ind w:firstLine="480" w:firstLineChars="200"/>
        <w:rPr>
          <w:rFonts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1.供应商应当按照竞争性磋商文件的要求编制响应文件，并对竞争性磋商文件提出的要求和条件作出实质性响应，响应文件应编制完整的页码、目录。</w:t>
      </w:r>
    </w:p>
    <w:p>
      <w:pPr>
        <w:spacing w:line="440" w:lineRule="exact"/>
        <w:ind w:firstLine="480" w:firstLineChars="200"/>
        <w:rPr>
          <w:rFonts w:ascii="宋体" w:hAnsi="宋体" w:cs="宋体"/>
          <w:sz w:val="24"/>
          <w:szCs w:val="24"/>
        </w:rPr>
      </w:pPr>
      <w:r>
        <w:rPr>
          <w:rFonts w:hint="eastAsia" w:ascii="宋体" w:hAnsi="宋体" w:cs="宋体"/>
          <w:sz w:val="24"/>
          <w:szCs w:val="24"/>
        </w:rPr>
        <w:t>2.响应文件组成</w:t>
      </w:r>
    </w:p>
    <w:p>
      <w:pPr>
        <w:spacing w:line="440" w:lineRule="exact"/>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40" w:lineRule="exact"/>
        <w:ind w:firstLine="480" w:firstLineChars="200"/>
        <w:rPr>
          <w:rFonts w:ascii="宋体" w:hAnsi="宋体" w:cs="宋体"/>
          <w:sz w:val="24"/>
          <w:szCs w:val="24"/>
        </w:rPr>
      </w:pPr>
      <w:r>
        <w:rPr>
          <w:rFonts w:hint="eastAsia" w:ascii="宋体" w:hAnsi="宋体" w:cs="宋体"/>
          <w:sz w:val="24"/>
          <w:szCs w:val="24"/>
        </w:rPr>
        <w:t>（二）磋商有效期：响应文件及有关承诺文件有效期为提交响应文件截止时间起90天。</w:t>
      </w:r>
    </w:p>
    <w:p>
      <w:pPr>
        <w:spacing w:line="440" w:lineRule="exact"/>
        <w:ind w:firstLine="480" w:firstLineChars="200"/>
        <w:rPr>
          <w:rFonts w:ascii="宋体" w:hAnsi="宋体" w:cs="宋体"/>
          <w:sz w:val="24"/>
          <w:szCs w:val="24"/>
        </w:rPr>
      </w:pPr>
      <w:r>
        <w:rPr>
          <w:rFonts w:hint="eastAsia" w:ascii="宋体" w:hAnsi="宋体" w:cs="宋体"/>
          <w:sz w:val="24"/>
          <w:szCs w:val="24"/>
        </w:rPr>
        <w:t>（三）修正错误</w:t>
      </w:r>
    </w:p>
    <w:p>
      <w:pPr>
        <w:spacing w:line="440" w:lineRule="exact"/>
        <w:ind w:firstLine="480" w:firstLineChars="200"/>
        <w:rPr>
          <w:rFonts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pPr>
        <w:spacing w:line="440" w:lineRule="exact"/>
        <w:ind w:firstLine="480" w:firstLineChars="200"/>
        <w:rPr>
          <w:rFonts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pacing w:line="440" w:lineRule="exact"/>
        <w:ind w:firstLine="480" w:firstLineChars="200"/>
        <w:rPr>
          <w:rFonts w:ascii="宋体" w:hAnsi="宋体" w:cs="宋体"/>
          <w:sz w:val="24"/>
          <w:szCs w:val="24"/>
        </w:rPr>
      </w:pPr>
      <w:r>
        <w:rPr>
          <w:rFonts w:hint="eastAsia" w:ascii="宋体" w:hAnsi="宋体" w:cs="宋体"/>
          <w:sz w:val="24"/>
          <w:szCs w:val="24"/>
        </w:rPr>
        <w:t>（四）提交响应文件的份数和签署</w:t>
      </w:r>
    </w:p>
    <w:p>
      <w:pPr>
        <w:spacing w:line="440" w:lineRule="exact"/>
        <w:ind w:firstLine="480" w:firstLineChars="200"/>
        <w:rPr>
          <w:rFonts w:ascii="宋体" w:hAnsi="宋体" w:cs="宋体"/>
          <w:sz w:val="24"/>
          <w:szCs w:val="24"/>
        </w:rPr>
      </w:pPr>
      <w:r>
        <w:rPr>
          <w:rFonts w:hint="eastAsia" w:ascii="宋体" w:hAnsi="宋体" w:cs="宋体"/>
          <w:sz w:val="24"/>
          <w:szCs w:val="24"/>
        </w:rPr>
        <w:t>1.响应文件一式</w:t>
      </w:r>
      <w:r>
        <w:rPr>
          <w:rFonts w:hint="eastAsia" w:ascii="宋体" w:hAnsi="宋体" w:cs="宋体"/>
          <w:sz w:val="24"/>
          <w:szCs w:val="24"/>
          <w:lang w:val="en-US" w:eastAsia="zh-CN"/>
        </w:rPr>
        <w:t>三</w:t>
      </w:r>
      <w:r>
        <w:rPr>
          <w:rFonts w:hint="eastAsia" w:ascii="宋体" w:hAnsi="宋体" w:cs="宋体"/>
          <w:sz w:val="24"/>
          <w:szCs w:val="24"/>
        </w:rPr>
        <w:t>份，其中正本一份，副本二份；副本可为正本的复印件，应与正本一致，如出现不一致情况以正本为准。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2.在响应文件正本中，竞争性磋商文件第六篇响应文件编制要求中规定签字、盖章的地方必须按其规定签字、盖章。</w:t>
      </w:r>
    </w:p>
    <w:p>
      <w:pPr>
        <w:spacing w:line="440" w:lineRule="exact"/>
        <w:ind w:firstLine="480" w:firstLineChars="200"/>
        <w:rPr>
          <w:rFonts w:ascii="宋体" w:hAnsi="宋体" w:cs="宋体"/>
          <w:sz w:val="24"/>
          <w:szCs w:val="24"/>
        </w:rPr>
      </w:pPr>
      <w:r>
        <w:rPr>
          <w:rFonts w:hint="eastAsia" w:ascii="宋体" w:hAnsi="宋体" w:cs="宋体"/>
          <w:sz w:val="24"/>
          <w:szCs w:val="24"/>
        </w:rPr>
        <w:t>（五）响应文件的递交</w:t>
      </w:r>
    </w:p>
    <w:p>
      <w:pPr>
        <w:spacing w:line="440" w:lineRule="exact"/>
        <w:ind w:firstLine="480" w:firstLineChars="200"/>
        <w:rPr>
          <w:rFonts w:ascii="宋体" w:hAnsi="宋体" w:cs="宋体"/>
          <w:sz w:val="24"/>
          <w:szCs w:val="24"/>
        </w:rPr>
      </w:pPr>
      <w:r>
        <w:rPr>
          <w:rFonts w:hint="eastAsia" w:ascii="宋体" w:hAnsi="宋体" w:cs="宋体"/>
          <w:sz w:val="24"/>
          <w:szCs w:val="24"/>
        </w:rPr>
        <w:t>1.响应文件的密封与标记</w:t>
      </w:r>
    </w:p>
    <w:p>
      <w:pPr>
        <w:spacing w:line="440" w:lineRule="exact"/>
        <w:ind w:firstLine="480" w:firstLineChars="200"/>
        <w:rPr>
          <w:rFonts w:ascii="宋体" w:hAnsi="宋体" w:cs="宋体"/>
          <w:sz w:val="24"/>
          <w:szCs w:val="24"/>
        </w:rPr>
      </w:pPr>
      <w:r>
        <w:rPr>
          <w:rFonts w:hint="eastAsia" w:ascii="宋体" w:hAnsi="宋体" w:cs="宋体"/>
          <w:sz w:val="24"/>
          <w:szCs w:val="24"/>
        </w:rPr>
        <w:t>1.1响应文件的正本、副本应密封送达磋商地点，应在封套上注明磋商项目名称、供应商名称。若正本、副本分别进行密封的，还应在封套上注明“正本”、“副本”、“电子文档”字样。</w:t>
      </w:r>
    </w:p>
    <w:p>
      <w:pPr>
        <w:spacing w:line="440" w:lineRule="exact"/>
        <w:ind w:firstLine="480" w:firstLineChars="200"/>
        <w:rPr>
          <w:rFonts w:ascii="宋体" w:hAnsi="宋体" w:cs="宋体"/>
          <w:sz w:val="24"/>
          <w:szCs w:val="24"/>
        </w:rPr>
      </w:pPr>
      <w:r>
        <w:rPr>
          <w:rFonts w:hint="eastAsia" w:ascii="宋体" w:hAnsi="宋体" w:cs="宋体"/>
          <w:sz w:val="24"/>
          <w:szCs w:val="24"/>
        </w:rPr>
        <w:t>1.2封套的封口处应加盖供应商公章或由法定代表人授权代表签字。</w:t>
      </w:r>
    </w:p>
    <w:p>
      <w:pPr>
        <w:spacing w:line="440" w:lineRule="exact"/>
        <w:ind w:firstLine="480" w:firstLineChars="200"/>
        <w:rPr>
          <w:rFonts w:ascii="宋体" w:hAnsi="宋体" w:cs="宋体"/>
          <w:sz w:val="24"/>
          <w:szCs w:val="24"/>
        </w:rPr>
      </w:pPr>
      <w:r>
        <w:rPr>
          <w:rFonts w:hint="eastAsia" w:ascii="宋体" w:hAnsi="宋体" w:cs="宋体"/>
          <w:sz w:val="24"/>
          <w:szCs w:val="24"/>
        </w:rPr>
        <w:t>2.如果响应文件通过邮寄递交，供应商应将响应文件用内、外两层封套密封。</w:t>
      </w:r>
    </w:p>
    <w:p>
      <w:pPr>
        <w:spacing w:line="440" w:lineRule="exact"/>
        <w:ind w:firstLine="480" w:firstLineChars="200"/>
        <w:rPr>
          <w:rFonts w:ascii="宋体" w:hAnsi="宋体" w:cs="宋体"/>
          <w:sz w:val="24"/>
          <w:szCs w:val="24"/>
        </w:rPr>
      </w:pPr>
      <w:r>
        <w:rPr>
          <w:rFonts w:hint="eastAsia" w:ascii="宋体" w:hAnsi="宋体" w:cs="宋体"/>
          <w:sz w:val="24"/>
          <w:szCs w:val="24"/>
        </w:rPr>
        <w:t>2.1内层封套的封装与标记同“1.”款规定。</w:t>
      </w:r>
    </w:p>
    <w:p>
      <w:pPr>
        <w:spacing w:line="440" w:lineRule="exact"/>
        <w:ind w:firstLine="480" w:firstLineChars="200"/>
        <w:rPr>
          <w:rFonts w:ascii="宋体" w:hAnsi="宋体" w:cs="宋体"/>
          <w:sz w:val="24"/>
          <w:szCs w:val="24"/>
        </w:rPr>
      </w:pPr>
      <w:r>
        <w:rPr>
          <w:rFonts w:hint="eastAsia" w:ascii="宋体" w:hAnsi="宋体" w:cs="宋体"/>
          <w:sz w:val="24"/>
          <w:szCs w:val="24"/>
        </w:rPr>
        <w:t>2.2外层封套装入“1.”款所述全部内封资料，并注明项目号、磋商项目编号、磋商项目名称、采购代理机构名称及地址。同时应写明供应商的名称、地址，以便将迟交的响应文件原封退还。</w:t>
      </w:r>
    </w:p>
    <w:p>
      <w:pPr>
        <w:spacing w:line="440" w:lineRule="exact"/>
        <w:ind w:firstLine="480" w:firstLineChars="200"/>
        <w:rPr>
          <w:rFonts w:ascii="宋体" w:hAnsi="宋体" w:cs="宋体"/>
          <w:sz w:val="24"/>
          <w:szCs w:val="24"/>
        </w:rPr>
      </w:pPr>
      <w:r>
        <w:rPr>
          <w:rFonts w:hint="eastAsia" w:ascii="宋体" w:hAnsi="宋体" w:cs="宋体"/>
          <w:sz w:val="24"/>
          <w:szCs w:val="24"/>
        </w:rPr>
        <w:t>3.如果未按上述规定进行密封和标记，采购代理机构对响应文件误投、丢失或提前拆封不负责任。</w:t>
      </w:r>
    </w:p>
    <w:p>
      <w:pPr>
        <w:spacing w:line="440" w:lineRule="exact"/>
        <w:ind w:firstLine="480" w:firstLineChars="200"/>
        <w:rPr>
          <w:rFonts w:ascii="宋体" w:hAnsi="宋体" w:cs="宋体"/>
          <w:sz w:val="24"/>
          <w:szCs w:val="24"/>
        </w:rPr>
      </w:pPr>
      <w:r>
        <w:rPr>
          <w:rFonts w:hint="eastAsia" w:ascii="宋体" w:hAnsi="宋体" w:cs="宋体"/>
          <w:sz w:val="24"/>
          <w:szCs w:val="24"/>
        </w:rPr>
        <w:t>（六）供应商参与人员</w:t>
      </w:r>
    </w:p>
    <w:p>
      <w:pPr>
        <w:spacing w:line="440" w:lineRule="exact"/>
        <w:ind w:firstLine="480" w:firstLineChars="200"/>
        <w:rPr>
          <w:rFonts w:ascii="宋体" w:hAnsi="宋体" w:cs="宋体"/>
          <w:sz w:val="24"/>
          <w:szCs w:val="24"/>
        </w:rPr>
      </w:pPr>
      <w:r>
        <w:rPr>
          <w:rFonts w:hint="eastAsia" w:ascii="宋体" w:hAnsi="宋体" w:cs="宋体"/>
          <w:sz w:val="24"/>
          <w:szCs w:val="24"/>
        </w:rPr>
        <w:t>各个供应商应当派1-2名代表参与磋商，至少1人应为法定代表人（或其授权代表）或自然人（供应商为自然人）。</w:t>
      </w:r>
    </w:p>
    <w:p>
      <w:pPr>
        <w:keepNext/>
        <w:keepLines/>
        <w:spacing w:line="440" w:lineRule="exact"/>
        <w:ind w:firstLine="482" w:firstLineChars="200"/>
        <w:outlineLvl w:val="1"/>
        <w:rPr>
          <w:rFonts w:ascii="宋体" w:hAnsi="宋体" w:cs="宋体"/>
          <w:b/>
          <w:sz w:val="24"/>
          <w:szCs w:val="24"/>
        </w:rPr>
      </w:pPr>
      <w:bookmarkStart w:id="67" w:name="_Toc18110"/>
      <w:bookmarkStart w:id="68" w:name="_Toc6682"/>
      <w:r>
        <w:rPr>
          <w:rFonts w:hint="eastAsia" w:ascii="宋体" w:hAnsi="宋体" w:cs="宋体"/>
          <w:b/>
          <w:sz w:val="24"/>
          <w:szCs w:val="24"/>
        </w:rPr>
        <w:t>四、成交供应商的确认和变更</w:t>
      </w:r>
      <w:bookmarkEnd w:id="67"/>
      <w:bookmarkEnd w:id="68"/>
    </w:p>
    <w:p>
      <w:pPr>
        <w:spacing w:line="440" w:lineRule="exact"/>
        <w:ind w:firstLine="480" w:firstLineChars="200"/>
        <w:rPr>
          <w:rFonts w:ascii="宋体" w:hAnsi="宋体" w:cs="宋体"/>
          <w:sz w:val="24"/>
          <w:szCs w:val="24"/>
        </w:rPr>
      </w:pPr>
      <w:r>
        <w:rPr>
          <w:rFonts w:hint="eastAsia" w:ascii="宋体" w:hAnsi="宋体" w:cs="宋体"/>
          <w:sz w:val="24"/>
          <w:szCs w:val="24"/>
        </w:rPr>
        <w:t>（一）成交供应商的确认</w:t>
      </w:r>
    </w:p>
    <w:p>
      <w:pPr>
        <w:spacing w:line="440" w:lineRule="exact"/>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之日起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4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成交供应商拒绝与采购人签订合同的，采购人可以按照评标报告推荐的成交候选供应商顺序，确定排名下一位的候选人为成交供应商，也可以重新开展政府采购活动。</w:t>
      </w:r>
    </w:p>
    <w:p>
      <w:pPr>
        <w:keepNext/>
        <w:keepLines/>
        <w:spacing w:line="440" w:lineRule="exact"/>
        <w:ind w:firstLine="482" w:firstLineChars="200"/>
        <w:outlineLvl w:val="1"/>
        <w:rPr>
          <w:rFonts w:ascii="宋体" w:hAnsi="宋体" w:cs="宋体"/>
          <w:b/>
          <w:sz w:val="24"/>
          <w:szCs w:val="24"/>
        </w:rPr>
      </w:pPr>
      <w:bookmarkStart w:id="69" w:name="_Toc16256"/>
      <w:bookmarkStart w:id="70" w:name="_Toc26707"/>
      <w:r>
        <w:rPr>
          <w:rFonts w:hint="eastAsia" w:ascii="宋体" w:hAnsi="宋体" w:cs="宋体"/>
          <w:b/>
          <w:sz w:val="24"/>
          <w:szCs w:val="24"/>
        </w:rPr>
        <w:t>五、成交通知</w:t>
      </w:r>
      <w:bookmarkEnd w:id="69"/>
      <w:bookmarkEnd w:id="70"/>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（一）成交供应商确定后，</w:t>
      </w:r>
      <w:r>
        <w:rPr>
          <w:rFonts w:hint="eastAsia" w:ascii="宋体" w:hAnsi="宋体" w:cs="宋体"/>
          <w:color w:val="auto"/>
          <w:sz w:val="24"/>
          <w:szCs w:val="24"/>
          <w:lang w:val="en-US" w:eastAsia="zh-CN"/>
        </w:rPr>
        <w:t>采购人或</w:t>
      </w:r>
      <w:r>
        <w:rPr>
          <w:rFonts w:hint="eastAsia" w:ascii="宋体" w:hAnsi="宋体" w:cs="宋体"/>
          <w:color w:val="auto"/>
          <w:sz w:val="24"/>
          <w:szCs w:val="24"/>
        </w:rPr>
        <w:t>采购代理机构将在</w:t>
      </w:r>
      <w:r>
        <w:rPr>
          <w:rFonts w:hint="eastAsia" w:ascii="宋体" w:hAnsi="宋体" w:cs="宋体"/>
          <w:color w:val="auto"/>
          <w:sz w:val="24"/>
          <w:szCs w:val="24"/>
          <w:lang w:eastAsia="zh-CN"/>
        </w:rPr>
        <w:t>安居古城官网（http://www.anjugc.cn/index.htm）上发布</w:t>
      </w:r>
      <w:r>
        <w:rPr>
          <w:rFonts w:hint="eastAsia" w:ascii="宋体" w:hAnsi="宋体" w:cs="宋体"/>
          <w:color w:val="auto"/>
          <w:sz w:val="24"/>
          <w:szCs w:val="24"/>
        </w:rPr>
        <w:t>成交结果公告。</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（二）结果公告发出同时</w:t>
      </w:r>
      <w:r>
        <w:rPr>
          <w:rFonts w:hint="eastAsia" w:ascii="宋体" w:hAnsi="宋体" w:cs="宋体"/>
          <w:color w:val="auto"/>
          <w:sz w:val="24"/>
          <w:szCs w:val="24"/>
          <w:lang w:val="en-US" w:eastAsia="zh-CN"/>
        </w:rPr>
        <w:t>并通知中标供应商在三日内缴纳履约保证金</w:t>
      </w:r>
      <w:r>
        <w:rPr>
          <w:rFonts w:hint="eastAsia" w:ascii="宋体" w:hAnsi="宋体" w:cs="宋体"/>
          <w:sz w:val="24"/>
          <w:szCs w:val="24"/>
        </w:rPr>
        <w:t>，采购代理机构将以书面形式发出《成交通知书》。《成交通知书》一经发出即发生法律效力。</w:t>
      </w:r>
    </w:p>
    <w:p>
      <w:pPr>
        <w:pStyle w:val="4"/>
        <w:rPr>
          <w:rFonts w:ascii="宋体" w:hAnsi="宋体" w:cs="宋体"/>
          <w:sz w:val="24"/>
          <w:szCs w:val="24"/>
        </w:rPr>
      </w:pPr>
      <w:r>
        <w:rPr>
          <w:rFonts w:hint="eastAsia" w:hAnsi="宋体" w:cs="宋体"/>
          <w:sz w:val="24"/>
          <w:szCs w:val="24"/>
          <w:lang w:val="en-US" w:eastAsia="zh-CN"/>
        </w:rPr>
        <w:t xml:space="preserve">    </w:t>
      </w:r>
      <w:r>
        <w:rPr>
          <w:rFonts w:hint="eastAsia" w:ascii="宋体" w:hAnsi="宋体" w:cs="宋体"/>
          <w:sz w:val="24"/>
          <w:szCs w:val="24"/>
        </w:rPr>
        <w:t>（三）《成交通知书》</w:t>
      </w:r>
      <w:r>
        <w:rPr>
          <w:rFonts w:hint="eastAsia" w:hAnsi="宋体" w:cs="宋体"/>
          <w:sz w:val="24"/>
          <w:szCs w:val="24"/>
          <w:lang w:eastAsia="zh-CN"/>
        </w:rPr>
        <w:t>、</w:t>
      </w:r>
      <w:r>
        <w:rPr>
          <w:rFonts w:hint="eastAsia" w:hAnsi="宋体" w:cs="宋体"/>
          <w:sz w:val="24"/>
          <w:szCs w:val="24"/>
          <w:lang w:val="en-US" w:eastAsia="zh-CN"/>
        </w:rPr>
        <w:t>履约保证金凭证</w:t>
      </w:r>
      <w:r>
        <w:rPr>
          <w:rFonts w:hint="eastAsia" w:ascii="宋体" w:hAnsi="宋体" w:cs="宋体"/>
          <w:sz w:val="24"/>
          <w:szCs w:val="24"/>
        </w:rPr>
        <w:t>将作为签订合同的依据。</w:t>
      </w:r>
    </w:p>
    <w:p>
      <w:pPr>
        <w:keepNext/>
        <w:keepLines/>
        <w:spacing w:line="440" w:lineRule="exact"/>
        <w:ind w:firstLine="482" w:firstLineChars="200"/>
        <w:outlineLvl w:val="1"/>
        <w:rPr>
          <w:rFonts w:ascii="宋体" w:hAnsi="宋体" w:cs="宋体"/>
          <w:b/>
          <w:sz w:val="24"/>
          <w:szCs w:val="24"/>
        </w:rPr>
      </w:pPr>
      <w:bookmarkStart w:id="71" w:name="_Toc24334"/>
      <w:bookmarkStart w:id="72" w:name="_Toc11224"/>
      <w:r>
        <w:rPr>
          <w:rFonts w:hint="eastAsia" w:ascii="宋体" w:hAnsi="宋体" w:cs="宋体"/>
          <w:b/>
          <w:sz w:val="24"/>
          <w:szCs w:val="24"/>
        </w:rPr>
        <w:t>六、关于质疑和投诉</w:t>
      </w:r>
      <w:bookmarkEnd w:id="71"/>
      <w:bookmarkEnd w:id="72"/>
    </w:p>
    <w:p>
      <w:pPr>
        <w:spacing w:line="440" w:lineRule="exact"/>
        <w:ind w:firstLine="480" w:firstLineChars="200"/>
        <w:rPr>
          <w:rFonts w:ascii="宋体" w:hAnsi="宋体" w:cs="宋体"/>
          <w:sz w:val="24"/>
          <w:szCs w:val="24"/>
        </w:rPr>
      </w:pPr>
      <w:r>
        <w:rPr>
          <w:rFonts w:hint="eastAsia" w:ascii="宋体" w:hAnsi="宋体" w:cs="宋体"/>
          <w:sz w:val="24"/>
          <w:szCs w:val="24"/>
        </w:rPr>
        <w:t>（一）质疑</w:t>
      </w:r>
    </w:p>
    <w:p>
      <w:pPr>
        <w:spacing w:line="440" w:lineRule="exact"/>
        <w:ind w:firstLine="480" w:firstLineChars="200"/>
        <w:rPr>
          <w:rFonts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pPr>
        <w:spacing w:line="440" w:lineRule="exact"/>
        <w:ind w:firstLine="480" w:firstLineChars="200"/>
        <w:rPr>
          <w:rFonts w:ascii="宋体" w:hAnsi="宋体" w:cs="宋体"/>
          <w:sz w:val="24"/>
          <w:szCs w:val="24"/>
        </w:rPr>
      </w:pPr>
      <w:r>
        <w:rPr>
          <w:rFonts w:hint="eastAsia" w:ascii="宋体" w:hAnsi="宋体" w:cs="宋体"/>
          <w:sz w:val="24"/>
          <w:szCs w:val="24"/>
        </w:rPr>
        <w:t>提出质疑的应当是参与所质疑项目采购活动的供应商。</w:t>
      </w:r>
    </w:p>
    <w:p>
      <w:pPr>
        <w:spacing w:line="360" w:lineRule="auto"/>
        <w:ind w:right="12" w:firstLine="480" w:firstLineChars="200"/>
        <w:rPr>
          <w:rFonts w:ascii="宋体" w:hAnsi="宋体" w:cs="宋体"/>
          <w:sz w:val="24"/>
          <w:szCs w:val="24"/>
        </w:rPr>
      </w:pPr>
      <w:r>
        <w:rPr>
          <w:rFonts w:hint="eastAsia" w:ascii="宋体" w:hAnsi="宋体" w:cs="宋体"/>
          <w:sz w:val="24"/>
          <w:szCs w:val="24"/>
        </w:rPr>
        <w:t>1.质疑时限、内容</w:t>
      </w:r>
    </w:p>
    <w:p>
      <w:pPr>
        <w:spacing w:line="360" w:lineRule="auto"/>
        <w:ind w:right="12" w:firstLine="480" w:firstLineChars="200"/>
        <w:rPr>
          <w:rFonts w:ascii="宋体" w:hAnsi="宋体" w:cs="宋体"/>
          <w:sz w:val="24"/>
          <w:szCs w:val="24"/>
        </w:rPr>
      </w:pPr>
      <w:r>
        <w:rPr>
          <w:rFonts w:hint="eastAsia" w:ascii="宋体" w:hAnsi="宋体" w:cs="宋体"/>
          <w:sz w:val="24"/>
          <w:szCs w:val="24"/>
        </w:rPr>
        <w:t>供应商认为采购文件、采购过程、成交结果使自己的权益受到损害的，可以在知道或者应知其权益受到损害之日起7个工作日内，以书面形式向采购人、采购代理机构提出质疑。</w:t>
      </w:r>
    </w:p>
    <w:p>
      <w:pPr>
        <w:pStyle w:val="29"/>
        <w:spacing w:line="360" w:lineRule="auto"/>
        <w:ind w:left="0" w:leftChars="0" w:firstLine="480" w:firstLineChars="200"/>
        <w:rPr>
          <w:rFonts w:eastAsiaTheme="minorEastAsia"/>
          <w:lang w:eastAsia="zh-CN"/>
        </w:rPr>
      </w:pPr>
      <w:r>
        <w:rPr>
          <w:rFonts w:hint="eastAsia" w:ascii="宋体" w:hAnsi="宋体" w:eastAsia="宋体" w:cs="宋体"/>
          <w:sz w:val="24"/>
          <w:szCs w:val="24"/>
          <w:lang w:eastAsia="zh-CN"/>
        </w:rPr>
        <w:t>1.1供应商对采购文件提出质疑的，应在依法获取采购文件（购买了采购文件并完成了报名手续）之日提出。</w:t>
      </w:r>
    </w:p>
    <w:p>
      <w:pPr>
        <w:spacing w:line="360" w:lineRule="auto"/>
        <w:ind w:right="12" w:firstLine="480" w:firstLineChars="200"/>
        <w:rPr>
          <w:rFonts w:ascii="宋体" w:hAnsi="宋体" w:cs="宋体"/>
          <w:sz w:val="24"/>
          <w:szCs w:val="24"/>
        </w:rPr>
      </w:pPr>
      <w:r>
        <w:rPr>
          <w:rFonts w:hint="eastAsia" w:ascii="宋体" w:hAnsi="宋体" w:cs="宋体"/>
          <w:sz w:val="24"/>
          <w:szCs w:val="24"/>
        </w:rPr>
        <w:t>1.2供应商提出质疑应当提交质疑函和必要的证明材料，质疑函应当包括下列内容：</w:t>
      </w:r>
    </w:p>
    <w:p>
      <w:pPr>
        <w:spacing w:line="360" w:lineRule="auto"/>
        <w:ind w:right="12" w:firstLine="480" w:firstLineChars="200"/>
        <w:rPr>
          <w:rFonts w:ascii="宋体" w:hAnsi="宋体" w:cs="宋体"/>
          <w:sz w:val="24"/>
          <w:szCs w:val="24"/>
        </w:rPr>
      </w:pPr>
      <w:r>
        <w:rPr>
          <w:rFonts w:hint="eastAsia" w:ascii="宋体" w:hAnsi="宋体" w:cs="宋体"/>
          <w:sz w:val="24"/>
          <w:szCs w:val="24"/>
        </w:rPr>
        <w:t>1.2.1供应商的姓名或者名称、地址、邮编、联系人及联系电话；</w:t>
      </w:r>
    </w:p>
    <w:p>
      <w:pPr>
        <w:spacing w:line="360" w:lineRule="auto"/>
        <w:ind w:right="12" w:firstLine="480" w:firstLineChars="200"/>
        <w:rPr>
          <w:rFonts w:ascii="宋体" w:hAnsi="宋体" w:cs="宋体"/>
          <w:sz w:val="24"/>
          <w:szCs w:val="24"/>
        </w:rPr>
      </w:pPr>
      <w:r>
        <w:rPr>
          <w:rFonts w:hint="eastAsia" w:ascii="宋体" w:hAnsi="宋体" w:cs="宋体"/>
          <w:sz w:val="24"/>
          <w:szCs w:val="24"/>
        </w:rPr>
        <w:t>1.2.2质疑项目的名称、项目号以及磋商项目编号；</w:t>
      </w:r>
    </w:p>
    <w:p>
      <w:pPr>
        <w:spacing w:line="360" w:lineRule="auto"/>
        <w:ind w:right="12" w:firstLine="480" w:firstLineChars="200"/>
        <w:rPr>
          <w:rFonts w:ascii="宋体" w:hAnsi="宋体" w:cs="宋体"/>
          <w:sz w:val="24"/>
          <w:szCs w:val="24"/>
        </w:rPr>
      </w:pPr>
      <w:r>
        <w:rPr>
          <w:rFonts w:hint="eastAsia" w:ascii="宋体" w:hAnsi="宋体" w:cs="宋体"/>
          <w:sz w:val="24"/>
          <w:szCs w:val="24"/>
        </w:rPr>
        <w:t>1.2.3具体、明确的质疑事项和与质疑事项相关的请求；</w:t>
      </w:r>
    </w:p>
    <w:p>
      <w:pPr>
        <w:spacing w:line="360" w:lineRule="auto"/>
        <w:ind w:right="12" w:firstLine="480" w:firstLineChars="200"/>
        <w:rPr>
          <w:rFonts w:ascii="宋体" w:hAnsi="宋体" w:cs="宋体"/>
          <w:sz w:val="24"/>
          <w:szCs w:val="24"/>
        </w:rPr>
      </w:pPr>
      <w:r>
        <w:rPr>
          <w:rFonts w:hint="eastAsia" w:ascii="宋体" w:hAnsi="宋体" w:cs="宋体"/>
          <w:sz w:val="24"/>
          <w:szCs w:val="24"/>
        </w:rPr>
        <w:t>1.2.4事实依据；</w:t>
      </w:r>
    </w:p>
    <w:p>
      <w:pPr>
        <w:spacing w:line="360" w:lineRule="auto"/>
        <w:ind w:right="12" w:firstLine="480" w:firstLineChars="200"/>
        <w:rPr>
          <w:rFonts w:ascii="宋体" w:hAnsi="宋体" w:cs="宋体"/>
          <w:sz w:val="24"/>
          <w:szCs w:val="24"/>
        </w:rPr>
      </w:pPr>
      <w:r>
        <w:rPr>
          <w:rFonts w:hint="eastAsia" w:ascii="宋体" w:hAnsi="宋体" w:cs="宋体"/>
          <w:sz w:val="24"/>
          <w:szCs w:val="24"/>
        </w:rPr>
        <w:t>1.2.5必要的法律依据；</w:t>
      </w:r>
    </w:p>
    <w:p>
      <w:pPr>
        <w:spacing w:line="360" w:lineRule="auto"/>
        <w:ind w:right="12" w:firstLine="480" w:firstLineChars="200"/>
        <w:rPr>
          <w:rFonts w:ascii="宋体" w:hAnsi="宋体" w:cs="宋体"/>
          <w:sz w:val="24"/>
          <w:szCs w:val="24"/>
        </w:rPr>
      </w:pPr>
      <w:r>
        <w:rPr>
          <w:rFonts w:hint="eastAsia" w:ascii="宋体" w:hAnsi="宋体" w:cs="宋体"/>
          <w:sz w:val="24"/>
          <w:szCs w:val="24"/>
        </w:rPr>
        <w:t>1.2.6提出质疑的日期；</w:t>
      </w:r>
    </w:p>
    <w:p>
      <w:pPr>
        <w:spacing w:line="440" w:lineRule="exact"/>
        <w:ind w:right="12" w:firstLine="480" w:firstLineChars="200"/>
        <w:rPr>
          <w:rFonts w:ascii="宋体" w:hAnsi="宋体" w:cs="宋体"/>
          <w:sz w:val="24"/>
          <w:szCs w:val="24"/>
        </w:rPr>
      </w:pPr>
      <w:r>
        <w:rPr>
          <w:rFonts w:hint="eastAsia" w:ascii="宋体" w:hAnsi="宋体" w:cs="宋体"/>
          <w:sz w:val="24"/>
          <w:szCs w:val="24"/>
        </w:rPr>
        <w:t>1.2.7营业执照（或事业单位法人证书，或个体工商户营业执照或有效的自然人身份证明、组织机构代码证）复印件；</w:t>
      </w:r>
    </w:p>
    <w:p>
      <w:pPr>
        <w:spacing w:line="440" w:lineRule="exact"/>
        <w:ind w:right="12" w:firstLine="480" w:firstLineChars="200"/>
        <w:rPr>
          <w:rFonts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pPr>
        <w:spacing w:line="440" w:lineRule="exact"/>
        <w:ind w:right="12" w:firstLine="480" w:firstLineChars="200"/>
        <w:rPr>
          <w:rFonts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pPr>
        <w:spacing w:line="440" w:lineRule="exact"/>
        <w:ind w:right="12" w:firstLine="480" w:firstLineChars="200"/>
        <w:rPr>
          <w:rFonts w:ascii="宋体" w:hAnsi="宋体" w:cs="宋体"/>
          <w:sz w:val="24"/>
          <w:szCs w:val="24"/>
        </w:rPr>
      </w:pPr>
      <w:r>
        <w:rPr>
          <w:rFonts w:hint="eastAsia" w:ascii="宋体" w:hAnsi="宋体" w:cs="宋体"/>
          <w:sz w:val="24"/>
          <w:szCs w:val="24"/>
        </w:rPr>
        <w:t>2.质疑答复</w:t>
      </w:r>
    </w:p>
    <w:p>
      <w:pPr>
        <w:spacing w:line="440" w:lineRule="exact"/>
        <w:ind w:right="12" w:firstLine="480" w:firstLineChars="200"/>
        <w:rPr>
          <w:rFonts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pPr>
        <w:spacing w:line="440" w:lineRule="exact"/>
        <w:ind w:right="12" w:firstLine="480" w:firstLineChars="200"/>
        <w:rPr>
          <w:rFonts w:ascii="宋体" w:hAnsi="宋体" w:cs="宋体"/>
          <w:sz w:val="24"/>
          <w:szCs w:val="24"/>
        </w:rPr>
      </w:pPr>
      <w:r>
        <w:rPr>
          <w:rFonts w:hint="eastAsia" w:ascii="宋体" w:hAnsi="宋体" w:cs="宋体"/>
          <w:sz w:val="24"/>
          <w:szCs w:val="24"/>
        </w:rPr>
        <w:t>3.其他</w:t>
      </w:r>
    </w:p>
    <w:p>
      <w:pPr>
        <w:spacing w:line="440" w:lineRule="exact"/>
        <w:ind w:right="12" w:firstLine="480" w:firstLineChars="200"/>
        <w:rPr>
          <w:rFonts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pPr>
        <w:spacing w:line="440" w:lineRule="exact"/>
        <w:ind w:right="12" w:firstLine="480" w:firstLineChars="200"/>
        <w:rPr>
          <w:rFonts w:ascii="宋体" w:hAnsi="宋体" w:cs="宋体"/>
          <w:sz w:val="24"/>
          <w:szCs w:val="24"/>
        </w:rPr>
      </w:pPr>
      <w:r>
        <w:rPr>
          <w:rFonts w:hint="eastAsia" w:ascii="宋体" w:hAnsi="宋体" w:cs="宋体"/>
          <w:sz w:val="24"/>
          <w:szCs w:val="24"/>
        </w:rPr>
        <w:t>3.2质疑函范本可在财政部门户网站和中国政府采购网下载。</w:t>
      </w:r>
    </w:p>
    <w:p>
      <w:pPr>
        <w:spacing w:line="440" w:lineRule="exact"/>
        <w:ind w:right="12" w:firstLine="480" w:firstLineChars="200"/>
        <w:rPr>
          <w:rFonts w:ascii="宋体" w:hAnsi="宋体" w:cs="宋体"/>
          <w:sz w:val="24"/>
          <w:szCs w:val="24"/>
        </w:rPr>
      </w:pPr>
      <w:r>
        <w:rPr>
          <w:rFonts w:hint="eastAsia" w:ascii="宋体" w:hAnsi="宋体" w:cs="宋体"/>
          <w:sz w:val="24"/>
          <w:szCs w:val="24"/>
        </w:rPr>
        <w:t>（二）投诉</w:t>
      </w:r>
    </w:p>
    <w:p>
      <w:pPr>
        <w:spacing w:line="440" w:lineRule="exact"/>
        <w:ind w:right="12" w:firstLine="480" w:firstLineChars="200"/>
        <w:rPr>
          <w:rFonts w:ascii="宋体" w:hAnsi="宋体" w:cs="宋体"/>
          <w:sz w:val="24"/>
          <w:szCs w:val="24"/>
        </w:rPr>
      </w:pPr>
      <w:r>
        <w:rPr>
          <w:rFonts w:hint="eastAsia" w:ascii="宋体" w:hAnsi="宋体" w:cs="宋体"/>
          <w:sz w:val="24"/>
          <w:szCs w:val="24"/>
        </w:rPr>
        <w:t>1.供应商对采购人、采购代理机构的答复不满意，或者采购人、采购代理机构未在规定时间内作出答复的，可以在答复期满后15个工作日内按照相关法律法规向</w:t>
      </w:r>
      <w:r>
        <w:rPr>
          <w:rFonts w:hint="eastAsia" w:ascii="宋体" w:hAnsi="宋体" w:cs="宋体"/>
          <w:sz w:val="24"/>
          <w:szCs w:val="24"/>
          <w:lang w:val="en-US" w:eastAsia="zh-CN"/>
        </w:rPr>
        <w:t>主管</w:t>
      </w:r>
      <w:r>
        <w:rPr>
          <w:rFonts w:hint="eastAsia" w:ascii="宋体" w:hAnsi="宋体" w:cs="宋体"/>
          <w:sz w:val="24"/>
          <w:szCs w:val="24"/>
        </w:rPr>
        <w:t>部门提起投诉。</w:t>
      </w:r>
    </w:p>
    <w:p>
      <w:pPr>
        <w:spacing w:line="440" w:lineRule="exact"/>
        <w:ind w:right="12" w:firstLine="480" w:firstLineChars="200"/>
        <w:rPr>
          <w:rFonts w:ascii="宋体" w:hAnsi="宋体" w:cs="宋体"/>
          <w:sz w:val="24"/>
          <w:szCs w:val="24"/>
        </w:rPr>
      </w:pPr>
      <w:r>
        <w:rPr>
          <w:rFonts w:hint="eastAsia" w:ascii="宋体" w:hAnsi="宋体" w:cs="宋体"/>
          <w:sz w:val="24"/>
          <w:szCs w:val="24"/>
        </w:rPr>
        <w:t>2.供应商应按照《政府采购质疑和投诉办法》（财政部令第94号）及相关法律法规要求递交投诉书和必要的证明材料。投诉书范本可在财政部门户网站和中国政府采购网下载。</w:t>
      </w:r>
    </w:p>
    <w:p>
      <w:pPr>
        <w:spacing w:line="440" w:lineRule="exact"/>
        <w:ind w:right="12" w:firstLine="480" w:firstLineChars="200"/>
        <w:rPr>
          <w:rFonts w:ascii="宋体" w:hAnsi="宋体" w:cs="宋体"/>
          <w:sz w:val="24"/>
          <w:szCs w:val="24"/>
        </w:rPr>
      </w:pPr>
      <w:r>
        <w:rPr>
          <w:rFonts w:hint="eastAsia" w:ascii="宋体" w:hAnsi="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40" w:lineRule="exact"/>
        <w:ind w:firstLine="480" w:firstLineChars="200"/>
        <w:rPr>
          <w:rFonts w:ascii="宋体" w:hAnsi="宋体" w:cs="宋体"/>
          <w:sz w:val="24"/>
          <w:szCs w:val="24"/>
        </w:rPr>
      </w:pPr>
      <w:r>
        <w:rPr>
          <w:rFonts w:hint="eastAsia" w:ascii="宋体" w:hAnsi="宋体" w:cs="宋体"/>
          <w:sz w:val="24"/>
          <w:szCs w:val="24"/>
        </w:rPr>
        <w:t>4.在确定受理投诉后，</w:t>
      </w:r>
      <w:r>
        <w:rPr>
          <w:rFonts w:hint="eastAsia" w:ascii="宋体" w:hAnsi="宋体" w:cs="宋体"/>
          <w:sz w:val="24"/>
          <w:szCs w:val="24"/>
          <w:lang w:val="en-US" w:eastAsia="zh-CN"/>
        </w:rPr>
        <w:t>主管</w:t>
      </w:r>
      <w:r>
        <w:rPr>
          <w:rFonts w:hint="eastAsia" w:ascii="宋体" w:hAnsi="宋体" w:cs="宋体"/>
          <w:sz w:val="24"/>
          <w:szCs w:val="24"/>
        </w:rPr>
        <w:t>部门自受理投诉之日起30个工作日内（需要检验、检测、鉴定、专家评审以及需要投诉人补正材料的，所需时间不计算在投诉处理期限内）对投诉事项做出处理决定。</w:t>
      </w:r>
    </w:p>
    <w:p>
      <w:pPr>
        <w:spacing w:line="440" w:lineRule="exact"/>
        <w:ind w:firstLine="482" w:firstLineChars="200"/>
        <w:rPr>
          <w:rFonts w:ascii="宋体" w:hAnsi="宋体" w:cs="宋体"/>
          <w:sz w:val="24"/>
        </w:rPr>
      </w:pPr>
      <w:r>
        <w:rPr>
          <w:rFonts w:hint="eastAsia" w:ascii="宋体" w:hAnsi="宋体" w:cs="宋体"/>
          <w:b/>
          <w:bCs/>
          <w:sz w:val="24"/>
          <w:szCs w:val="24"/>
        </w:rPr>
        <w:t>打款时请备注</w:t>
      </w:r>
      <w:r>
        <w:rPr>
          <w:rFonts w:hint="eastAsia" w:ascii="宋体" w:hAnsi="宋体" w:cs="宋体"/>
          <w:b/>
          <w:bCs/>
          <w:sz w:val="24"/>
          <w:szCs w:val="24"/>
          <w:u w:val="single"/>
        </w:rPr>
        <w:t>项目名称</w:t>
      </w:r>
      <w:r>
        <w:rPr>
          <w:rFonts w:hint="eastAsia" w:ascii="宋体" w:hAnsi="宋体" w:cs="宋体"/>
          <w:b/>
          <w:bCs/>
          <w:sz w:val="24"/>
          <w:szCs w:val="24"/>
        </w:rPr>
        <w:t>代理费</w:t>
      </w:r>
    </w:p>
    <w:p>
      <w:pPr>
        <w:spacing w:line="440" w:lineRule="exact"/>
        <w:ind w:firstLine="482" w:firstLineChars="200"/>
        <w:rPr>
          <w:rFonts w:ascii="宋体" w:hAnsi="宋体" w:cs="宋体"/>
          <w:b/>
          <w:sz w:val="24"/>
        </w:rPr>
      </w:pPr>
      <w:bookmarkStart w:id="73" w:name="_Toc31094"/>
      <w:bookmarkStart w:id="74" w:name="_Toc29986"/>
      <w:r>
        <w:rPr>
          <w:rFonts w:hint="eastAsia" w:ascii="宋体" w:hAnsi="宋体" w:cs="宋体"/>
          <w:b/>
          <w:sz w:val="24"/>
          <w:lang w:val="en-US" w:eastAsia="zh-CN"/>
        </w:rPr>
        <w:t>七</w:t>
      </w:r>
      <w:r>
        <w:rPr>
          <w:rFonts w:ascii="宋体" w:hAnsi="宋体" w:cs="宋体"/>
          <w:b/>
          <w:sz w:val="24"/>
        </w:rPr>
        <w:t>、</w:t>
      </w:r>
      <w:bookmarkEnd w:id="73"/>
      <w:bookmarkEnd w:id="74"/>
      <w:bookmarkStart w:id="75" w:name="_Toc22794"/>
      <w:bookmarkStart w:id="76" w:name="_Toc23667"/>
      <w:r>
        <w:rPr>
          <w:rFonts w:ascii="宋体" w:hAnsi="宋体" w:cs="宋体"/>
          <w:b/>
          <w:sz w:val="24"/>
        </w:rPr>
        <w:t>签订合同</w:t>
      </w:r>
      <w:bookmarkEnd w:id="75"/>
      <w:bookmarkEnd w:id="76"/>
    </w:p>
    <w:p>
      <w:pPr>
        <w:spacing w:line="440" w:lineRule="exact"/>
        <w:ind w:firstLine="480" w:firstLineChars="200"/>
        <w:rPr>
          <w:rFonts w:ascii="宋体" w:hAnsi="宋体" w:cs="宋体"/>
          <w:sz w:val="24"/>
        </w:rPr>
      </w:pPr>
      <w:r>
        <w:rPr>
          <w:rFonts w:ascii="宋体" w:hAnsi="宋体" w:cs="宋体"/>
          <w:sz w:val="24"/>
        </w:rPr>
        <w:t>（一）采购人应当自成交通知书发出之日起三日内，按照竞争性磋商文件和成交供应商响应文件的约定，与成交供应商签订书面合同。所签订的合同不得对竞争性磋商文件和供应商的响应文件作实质性修改。</w:t>
      </w:r>
    </w:p>
    <w:p>
      <w:pPr>
        <w:spacing w:line="440" w:lineRule="exact"/>
        <w:ind w:firstLine="480" w:firstLineChars="200"/>
        <w:rPr>
          <w:rFonts w:ascii="宋体" w:hAnsi="宋体" w:cs="宋体"/>
          <w:sz w:val="24"/>
        </w:rPr>
      </w:pPr>
      <w:r>
        <w:rPr>
          <w:rFonts w:ascii="宋体" w:hAnsi="宋体" w:cs="宋体"/>
          <w:sz w:val="24"/>
        </w:rPr>
        <w:t>（二）竞争性磋商文件、供应商的响应文件及澄清文件等，均为签订采购合同的依据。</w:t>
      </w:r>
    </w:p>
    <w:p>
      <w:pPr>
        <w:spacing w:line="440" w:lineRule="exact"/>
        <w:ind w:firstLine="480" w:firstLineChars="200"/>
        <w:rPr>
          <w:rFonts w:ascii="宋体" w:hAnsi="宋体" w:cs="宋体"/>
          <w:sz w:val="24"/>
        </w:rPr>
      </w:pPr>
      <w:r>
        <w:rPr>
          <w:rFonts w:ascii="宋体" w:hAnsi="宋体" w:cs="宋体"/>
          <w:sz w:val="24"/>
        </w:rPr>
        <w:t>（</w:t>
      </w:r>
      <w:r>
        <w:rPr>
          <w:rFonts w:hint="eastAsia" w:ascii="宋体" w:hAnsi="宋体" w:cs="宋体"/>
          <w:sz w:val="24"/>
          <w:lang w:val="en-US" w:eastAsia="zh-CN"/>
        </w:rPr>
        <w:t>三</w:t>
      </w:r>
      <w:r>
        <w:rPr>
          <w:rFonts w:ascii="宋体" w:hAnsi="宋体" w:cs="宋体"/>
          <w:sz w:val="24"/>
        </w:rPr>
        <w:t>）合同生效条款由供需双方约定，法律、行政法规规定应当办理批准、登记等手续后生效的合同，依照其规定。</w:t>
      </w:r>
    </w:p>
    <w:p>
      <w:pPr>
        <w:spacing w:line="440" w:lineRule="exact"/>
        <w:ind w:firstLine="480" w:firstLineChars="200"/>
        <w:rPr>
          <w:rFonts w:ascii="宋体" w:hAnsi="宋体" w:cs="宋体"/>
          <w:sz w:val="24"/>
        </w:rPr>
      </w:pPr>
      <w:r>
        <w:rPr>
          <w:rFonts w:ascii="宋体" w:hAnsi="宋体" w:cs="宋体"/>
          <w:sz w:val="24"/>
        </w:rPr>
        <w:t>（</w:t>
      </w:r>
      <w:r>
        <w:rPr>
          <w:rFonts w:hint="eastAsia" w:ascii="宋体" w:hAnsi="宋体" w:cs="宋体"/>
          <w:sz w:val="24"/>
          <w:lang w:val="en-US" w:eastAsia="zh-CN"/>
        </w:rPr>
        <w:t>四</w:t>
      </w:r>
      <w:r>
        <w:rPr>
          <w:rFonts w:ascii="宋体" w:hAnsi="宋体" w:cs="宋体"/>
          <w:sz w:val="24"/>
        </w:rPr>
        <w:t>）采购人要求成交供应商提供履约保证金的，应当在竞争性磋商文件中予以约定。成交供应商履约完毕后，采购人根据采购文件规定无息退还其履约保证金。</w:t>
      </w:r>
    </w:p>
    <w:p>
      <w:pPr>
        <w:ind w:firstLine="560" w:firstLineChars="200"/>
        <w:rPr>
          <w:rFonts w:eastAsiaTheme="minorEastAsia"/>
        </w:rPr>
      </w:pPr>
    </w:p>
    <w:p>
      <w:pPr>
        <w:keepNext/>
        <w:keepLines/>
        <w:spacing w:line="440" w:lineRule="exact"/>
        <w:jc w:val="center"/>
        <w:outlineLvl w:val="0"/>
        <w:rPr>
          <w:rFonts w:ascii="宋体" w:hAnsi="宋体" w:cs="宋体"/>
          <w:color w:val="FF0000"/>
          <w:sz w:val="36"/>
        </w:rPr>
      </w:pPr>
      <w:bookmarkStart w:id="77" w:name="_Toc5609"/>
      <w:bookmarkStart w:id="78" w:name="_Toc27310"/>
      <w:bookmarkStart w:id="79" w:name="_Toc6051"/>
      <w:r>
        <w:rPr>
          <w:rFonts w:ascii="宋体" w:hAnsi="宋体" w:cs="宋体"/>
          <w:b/>
          <w:bCs/>
          <w:color w:val="auto"/>
          <w:sz w:val="36"/>
        </w:rPr>
        <w:t>第六篇采购合同</w:t>
      </w:r>
      <w:bookmarkEnd w:id="77"/>
      <w:bookmarkEnd w:id="78"/>
      <w:bookmarkEnd w:id="79"/>
    </w:p>
    <w:p>
      <w:pPr>
        <w:keepNext w:val="0"/>
        <w:keepLines w:val="0"/>
        <w:pageBreakBefore w:val="0"/>
        <w:kinsoku/>
        <w:wordWrap/>
        <w:topLinePunct w:val="0"/>
        <w:autoSpaceDE/>
        <w:autoSpaceDN/>
        <w:bidi w:val="0"/>
        <w:adjustRightInd/>
        <w:spacing w:after="156" w:afterLines="50" w:line="470" w:lineRule="exact"/>
        <w:jc w:val="center"/>
        <w:rPr>
          <w:rFonts w:hint="eastAsia" w:ascii="方正仿宋_GBK" w:hAnsi="方正仿宋_GBK" w:eastAsia="方正仿宋_GBK" w:cs="方正仿宋_GBK"/>
          <w:b/>
          <w:sz w:val="44"/>
          <w:szCs w:val="44"/>
        </w:rPr>
      </w:pPr>
      <w:bookmarkStart w:id="80" w:name="_Toc4843"/>
      <w:bookmarkStart w:id="81" w:name="_Toc11387"/>
      <w:bookmarkStart w:id="82" w:name="_Toc15752"/>
    </w:p>
    <w:p>
      <w:pPr>
        <w:keepNext w:val="0"/>
        <w:keepLines w:val="0"/>
        <w:pageBreakBefore w:val="0"/>
        <w:kinsoku/>
        <w:wordWrap/>
        <w:topLinePunct w:val="0"/>
        <w:autoSpaceDE/>
        <w:autoSpaceDN/>
        <w:bidi w:val="0"/>
        <w:adjustRightInd/>
        <w:spacing w:after="156" w:afterLines="50" w:line="47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44"/>
          <w:szCs w:val="44"/>
        </w:rPr>
        <w:t>202</w:t>
      </w:r>
      <w:r>
        <w:rPr>
          <w:rFonts w:hint="eastAsia" w:asciiTheme="minorEastAsia" w:hAnsiTheme="minorEastAsia" w:eastAsiaTheme="minorEastAsia" w:cstheme="minorEastAsia"/>
          <w:b/>
          <w:sz w:val="44"/>
          <w:szCs w:val="44"/>
          <w:lang w:val="en-US" w:eastAsia="zh-CN"/>
        </w:rPr>
        <w:t>2年</w:t>
      </w:r>
      <w:r>
        <w:rPr>
          <w:rFonts w:hint="eastAsia" w:asciiTheme="minorEastAsia" w:hAnsiTheme="minorEastAsia" w:eastAsiaTheme="minorEastAsia" w:cstheme="minorEastAsia"/>
          <w:b/>
          <w:sz w:val="44"/>
          <w:szCs w:val="44"/>
        </w:rPr>
        <w:t>安居古城端午龙舟会活动合同</w:t>
      </w:r>
    </w:p>
    <w:p>
      <w:pPr>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bCs/>
          <w:color w:val="000000"/>
          <w:sz w:val="28"/>
          <w:szCs w:val="28"/>
        </w:rPr>
      </w:pPr>
    </w:p>
    <w:p>
      <w:pPr>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 xml:space="preserve">甲方：     </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 xml:space="preserve"> </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（以下简称甲方）</w:t>
      </w:r>
    </w:p>
    <w:p>
      <w:pPr>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color w:val="000000"/>
          <w:sz w:val="28"/>
          <w:szCs w:val="28"/>
        </w:rPr>
        <w:t>乙方：         （以下简称乙方）</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kern w:val="0"/>
          <w:sz w:val="28"/>
          <w:szCs w:val="28"/>
        </w:rPr>
      </w:pP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kern w:val="0"/>
          <w:sz w:val="28"/>
          <w:szCs w:val="28"/>
        </w:rPr>
        <w:t>为积极贯彻铜梁区委区政府打造重庆一流、全国知名龙文化旅游名城的战略决策，弘扬中华传统文化，全力塑造“原乡风情·大美铜梁”城市旅游形象，甲方定于202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年6月</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color w:val="auto"/>
          <w:kern w:val="0"/>
          <w:sz w:val="28"/>
          <w:szCs w:val="28"/>
        </w:rPr>
        <w:t>日—</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日举办“202</w:t>
      </w:r>
      <w:r>
        <w:rPr>
          <w:rFonts w:hint="eastAsia" w:asciiTheme="minorEastAsia" w:hAnsiTheme="minorEastAsia" w:eastAsiaTheme="minorEastAsia" w:cstheme="minorEastAsia"/>
          <w:color w:val="auto"/>
          <w:kern w:val="0"/>
          <w:sz w:val="28"/>
          <w:szCs w:val="28"/>
          <w:lang w:val="en-US" w:eastAsia="zh-CN"/>
        </w:rPr>
        <w:t>2年</w:t>
      </w:r>
      <w:r>
        <w:rPr>
          <w:rFonts w:hint="eastAsia" w:asciiTheme="minorEastAsia" w:hAnsiTheme="minorEastAsia" w:eastAsiaTheme="minorEastAsia" w:cstheme="minorEastAsia"/>
          <w:color w:val="auto"/>
          <w:kern w:val="0"/>
          <w:sz w:val="28"/>
          <w:szCs w:val="28"/>
        </w:rPr>
        <w:t>安居古城端午龙舟会”，乙方经招标成为该节会活动执行方，</w:t>
      </w:r>
      <w:r>
        <w:rPr>
          <w:rFonts w:hint="eastAsia" w:asciiTheme="minorEastAsia" w:hAnsiTheme="minorEastAsia" w:eastAsiaTheme="minorEastAsia" w:cstheme="minorEastAsia"/>
          <w:color w:val="auto"/>
          <w:sz w:val="28"/>
          <w:szCs w:val="28"/>
        </w:rPr>
        <w:t>为确立双方的权利、义务及合作形式，经双方友好协商，签订本合同并承诺共同遵守。合同内容如下：</w:t>
      </w:r>
    </w:p>
    <w:p>
      <w:pPr>
        <w:pStyle w:val="248"/>
        <w:keepNext w:val="0"/>
        <w:keepLines w:val="0"/>
        <w:pageBreakBefore w:val="0"/>
        <w:kinsoku/>
        <w:wordWrap/>
        <w:topLinePunct w:val="0"/>
        <w:autoSpaceDE/>
        <w:autoSpaceDN/>
        <w:bidi w:val="0"/>
        <w:adjustRightInd/>
        <w:spacing w:line="470" w:lineRule="exact"/>
        <w:ind w:firstLine="643"/>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一.活动内容、时间、地点、场次</w:t>
      </w:r>
    </w:p>
    <w:p>
      <w:pPr>
        <w:pStyle w:val="248"/>
        <w:keepNext w:val="0"/>
        <w:keepLines w:val="0"/>
        <w:pageBreakBefore w:val="0"/>
        <w:kinsoku/>
        <w:wordWrap/>
        <w:topLinePunct w:val="0"/>
        <w:autoSpaceDE/>
        <w:autoSpaceDN/>
        <w:bidi w:val="0"/>
        <w:adjustRightInd/>
        <w:spacing w:line="47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1.1活动内容：祥见附件《202</w:t>
      </w:r>
      <w:r>
        <w:rPr>
          <w:rFonts w:hint="eastAsia" w:asciiTheme="minorEastAsia" w:hAnsiTheme="minorEastAsia" w:eastAsiaTheme="minorEastAsia" w:cstheme="minorEastAsia"/>
          <w:color w:val="auto"/>
          <w:sz w:val="28"/>
          <w:szCs w:val="28"/>
          <w:lang w:val="en-US" w:eastAsia="zh-CN"/>
        </w:rPr>
        <w:t>2年</w:t>
      </w:r>
      <w:r>
        <w:rPr>
          <w:rFonts w:hint="eastAsia" w:asciiTheme="minorEastAsia" w:hAnsiTheme="minorEastAsia" w:eastAsiaTheme="minorEastAsia" w:cstheme="minorEastAsia"/>
          <w:color w:val="auto"/>
          <w:sz w:val="28"/>
          <w:szCs w:val="28"/>
        </w:rPr>
        <w:t>安居古城端午龙舟会活动中标清单》。</w:t>
      </w:r>
    </w:p>
    <w:p>
      <w:pPr>
        <w:pStyle w:val="248"/>
        <w:keepNext w:val="0"/>
        <w:keepLines w:val="0"/>
        <w:pageBreakBefore w:val="0"/>
        <w:kinsoku/>
        <w:wordWrap/>
        <w:topLinePunct w:val="0"/>
        <w:autoSpaceDE/>
        <w:autoSpaceDN/>
        <w:bidi w:val="0"/>
        <w:adjustRightInd/>
        <w:spacing w:line="47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1.2活动时间：202</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年06月</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日-06月</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日为彩排。</w:t>
      </w:r>
    </w:p>
    <w:p>
      <w:pPr>
        <w:pStyle w:val="248"/>
        <w:keepNext w:val="0"/>
        <w:keepLines w:val="0"/>
        <w:pageBreakBefore w:val="0"/>
        <w:kinsoku/>
        <w:wordWrap/>
        <w:topLinePunct w:val="0"/>
        <w:autoSpaceDE/>
        <w:autoSpaceDN/>
        <w:bidi w:val="0"/>
        <w:adjustRightInd/>
        <w:spacing w:line="47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1.3活动地点：重庆市铜梁区安居古城。</w:t>
      </w:r>
    </w:p>
    <w:p>
      <w:pPr>
        <w:pStyle w:val="248"/>
        <w:keepNext w:val="0"/>
        <w:keepLines w:val="0"/>
        <w:pageBreakBefore w:val="0"/>
        <w:kinsoku/>
        <w:wordWrap/>
        <w:topLinePunct w:val="0"/>
        <w:autoSpaceDE/>
        <w:autoSpaceDN/>
        <w:bidi w:val="0"/>
        <w:adjustRightInd/>
        <w:spacing w:line="47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1.4活动场次：彩排一场，正式表演</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场。</w:t>
      </w:r>
    </w:p>
    <w:p>
      <w:pPr>
        <w:pStyle w:val="248"/>
        <w:keepNext w:val="0"/>
        <w:keepLines w:val="0"/>
        <w:pageBreakBefore w:val="0"/>
        <w:kinsoku/>
        <w:wordWrap/>
        <w:topLinePunct w:val="0"/>
        <w:autoSpaceDE/>
        <w:autoSpaceDN/>
        <w:bidi w:val="0"/>
        <w:adjustRightInd/>
        <w:spacing w:line="470" w:lineRule="exact"/>
        <w:ind w:firstLine="64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二.演出费用</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2.1 合同总费用共计</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元</w:t>
      </w:r>
      <w:r>
        <w:rPr>
          <w:rFonts w:hint="eastAsia" w:asciiTheme="minorEastAsia" w:hAnsiTheme="minorEastAsia" w:eastAsiaTheme="minorEastAsia" w:cstheme="minorEastAsia"/>
          <w:color w:val="auto"/>
          <w:sz w:val="28"/>
          <w:szCs w:val="28"/>
        </w:rPr>
        <w:t>，大写人民币：</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u w:val="single"/>
        </w:rPr>
        <w:t>整 。</w:t>
      </w:r>
    </w:p>
    <w:p>
      <w:pPr>
        <w:keepNext w:val="0"/>
        <w:keepLines w:val="0"/>
        <w:pageBreakBefore w:val="0"/>
        <w:kinsoku/>
        <w:wordWrap/>
        <w:topLinePunct w:val="0"/>
        <w:autoSpaceDE/>
        <w:autoSpaceDN/>
        <w:bidi w:val="0"/>
        <w:adjustRightInd/>
        <w:snapToGrid w:val="0"/>
        <w:spacing w:line="470" w:lineRule="exact"/>
        <w:ind w:firstLine="560" w:firstLineChars="200"/>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2.2 此费用为一次性包干价，</w:t>
      </w:r>
      <w:r>
        <w:rPr>
          <w:rFonts w:hint="eastAsia" w:asciiTheme="minorEastAsia" w:hAnsiTheme="minorEastAsia" w:eastAsiaTheme="minorEastAsia" w:cstheme="minorEastAsia"/>
          <w:bCs/>
          <w:color w:val="auto"/>
          <w:sz w:val="28"/>
          <w:szCs w:val="28"/>
        </w:rPr>
        <w:t>合同价款</w:t>
      </w:r>
      <w:r>
        <w:rPr>
          <w:rFonts w:hint="eastAsia" w:asciiTheme="minorEastAsia" w:hAnsiTheme="minorEastAsia" w:eastAsiaTheme="minorEastAsia" w:cstheme="minorEastAsia"/>
          <w:color w:val="auto"/>
          <w:sz w:val="28"/>
          <w:szCs w:val="28"/>
        </w:rPr>
        <w:t>包括但不限于策划费、组织实施费、场地搭建费、</w:t>
      </w:r>
      <w:r>
        <w:rPr>
          <w:rFonts w:hint="eastAsia" w:asciiTheme="minorEastAsia" w:hAnsiTheme="minorEastAsia" w:eastAsiaTheme="minorEastAsia" w:cstheme="minorEastAsia"/>
          <w:bCs/>
          <w:color w:val="auto"/>
          <w:sz w:val="28"/>
          <w:szCs w:val="28"/>
        </w:rPr>
        <w:t>器材运输、吊装、演职人员和乙方工作人员交通、食宿、保险、劳务、安全文明施工费、管理费、利润及税金等一切费用。</w:t>
      </w:r>
    </w:p>
    <w:p>
      <w:pPr>
        <w:keepNext w:val="0"/>
        <w:keepLines w:val="0"/>
        <w:pageBreakBefore w:val="0"/>
        <w:kinsoku/>
        <w:wordWrap/>
        <w:topLinePunct w:val="0"/>
        <w:autoSpaceDE/>
        <w:autoSpaceDN/>
        <w:bidi w:val="0"/>
        <w:adjustRightInd/>
        <w:spacing w:line="47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三.双方的权利和义务</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3.1甲方的权利和义务</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3.1.1 甲方有活动规模、活动内容、活动时间、活动地点的决定权等；</w:t>
      </w:r>
    </w:p>
    <w:p>
      <w:pPr>
        <w:keepNext w:val="0"/>
        <w:keepLines w:val="0"/>
        <w:pageBreakBefore w:val="0"/>
        <w:kinsoku/>
        <w:wordWrap/>
        <w:topLinePunct w:val="0"/>
        <w:autoSpaceDE/>
        <w:autoSpaceDN/>
        <w:bidi w:val="0"/>
        <w:adjustRightInd/>
        <w:spacing w:line="47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3.1.2 甲方有对乙方提供的服务质量和服务履行情况的监督权和认可权；</w:t>
      </w:r>
    </w:p>
    <w:p>
      <w:pPr>
        <w:pStyle w:val="247"/>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3.1.3 甲方拥有宣传营销方案的决定权；</w:t>
      </w:r>
    </w:p>
    <w:p>
      <w:pPr>
        <w:pStyle w:val="247"/>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3.1.4 甲方独家拥有本次活动产生的无形资产的所有权；</w:t>
      </w:r>
    </w:p>
    <w:p>
      <w:pPr>
        <w:pStyle w:val="247"/>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3.1.5甲方有义务向乙方提供甲方背景资料，便于乙方对活动的方案设计；</w:t>
      </w:r>
    </w:p>
    <w:p>
      <w:pPr>
        <w:pStyle w:val="247"/>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3.1.6甲方有义务配合乙方对活动现场的踏勘，便于乙方对活动现场的规划。</w:t>
      </w:r>
    </w:p>
    <w:p>
      <w:pPr>
        <w:pStyle w:val="247"/>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本次活动后，享有本次活动的影像，视频的宣传权。</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乙方的权利和义务</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3.2.1 乙方有权利按时要求甲方支付服务费；</w:t>
      </w:r>
    </w:p>
    <w:p>
      <w:pPr>
        <w:keepNext w:val="0"/>
        <w:keepLines w:val="0"/>
        <w:pageBreakBefore w:val="0"/>
        <w:kinsoku/>
        <w:wordWrap/>
        <w:topLinePunct w:val="0"/>
        <w:autoSpaceDE/>
        <w:autoSpaceDN/>
        <w:bidi w:val="0"/>
        <w:adjustRightInd/>
        <w:spacing w:line="47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3.2.2 乙方有权利拒绝执行合同约定以外的项目；</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3.2.3 乙方享有本次活动节目表演的独立创作权；</w:t>
      </w:r>
    </w:p>
    <w:p>
      <w:pPr>
        <w:pStyle w:val="247"/>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3.2.4 乙方有义务做好合同约定期间水上活动的安全保障，并负安全责任；</w:t>
      </w:r>
    </w:p>
    <w:p>
      <w:pPr>
        <w:pStyle w:val="247"/>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3.2.5乙方有义务配合甲方做好展演前的一切准备工作。</w:t>
      </w:r>
    </w:p>
    <w:p>
      <w:pPr>
        <w:keepNext w:val="0"/>
        <w:keepLines w:val="0"/>
        <w:pageBreakBefore w:val="0"/>
        <w:kinsoku/>
        <w:wordWrap/>
        <w:topLinePunct w:val="0"/>
        <w:autoSpaceDE/>
        <w:autoSpaceDN/>
        <w:bidi w:val="0"/>
        <w:adjustRightInd/>
        <w:spacing w:line="47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四.相关约定</w:t>
      </w:r>
    </w:p>
    <w:p>
      <w:pPr>
        <w:keepNext w:val="0"/>
        <w:keepLines w:val="0"/>
        <w:pageBreakBefore w:val="0"/>
        <w:kinsoku/>
        <w:wordWrap/>
        <w:topLinePunct w:val="0"/>
        <w:autoSpaceDE/>
        <w:autoSpaceDN/>
        <w:bidi w:val="0"/>
        <w:adjustRightInd/>
        <w:spacing w:line="47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4.1合同约定期间，乙方必须保证演职人员、工作人员等按甲方要求到岗到位，保证活动按时、按质、按量完成；</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4.2合同约定期间，乙方必须遵守甲方的一切正当、合理的安排，乙方不得以任何的理由推辞；</w:t>
      </w:r>
    </w:p>
    <w:p>
      <w:pPr>
        <w:keepNext w:val="0"/>
        <w:keepLines w:val="0"/>
        <w:pageBreakBefore w:val="0"/>
        <w:kinsoku/>
        <w:wordWrap/>
        <w:topLinePunct w:val="0"/>
        <w:autoSpaceDE/>
        <w:autoSpaceDN/>
        <w:bidi w:val="0"/>
        <w:adjustRightInd/>
        <w:spacing w:line="47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4.3乙方必须安排专人就活动的具体事项与甲方进行对接，并按时完成合同约定内容；</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4.4乙方必须严格按照甲方的合理规定进行工作。乙方聘请的人员的穿着需按甲方指定的要求来穿着或佩戴。工作期间保持最佳精神状态，不做与工作无关的任何事情。如遇特殊情况需离开工作岗位时，需得到甲方同意方可离开；</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4.5乙方全力配合并服从甲方对活动前的彩排工作，按甲方求进行活动前排练，保证正式演出顺利完成；</w:t>
      </w:r>
    </w:p>
    <w:p>
      <w:pPr>
        <w:keepNext w:val="0"/>
        <w:keepLines w:val="0"/>
        <w:pageBreakBefore w:val="0"/>
        <w:kinsoku/>
        <w:wordWrap/>
        <w:topLinePunct w:val="0"/>
        <w:autoSpaceDE/>
        <w:autoSpaceDN/>
        <w:bidi w:val="0"/>
        <w:adjustRightInd/>
        <w:spacing w:line="47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4.6乙方在活动举办日期内不允许有不到场等现象发生。否则视为乙方违约，应向甲方支付本合同总价款10%的违约金，在甲方支付合同价款时扣除；</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4.7乙方所有人员演出需要的服装、道具、音视频文件等均自行负责，并满足甲方要求；</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rPr>
        <w:t>4.8乙方必须为此次活动的演职人员、聘请的人员及工作人员等购买人身伤害意外保险，乙方的演职人员及工作人员等所有人员的</w:t>
      </w:r>
      <w:r>
        <w:rPr>
          <w:rFonts w:hint="eastAsia" w:asciiTheme="minorEastAsia" w:hAnsiTheme="minorEastAsia" w:eastAsiaTheme="minorEastAsia" w:cstheme="minorEastAsia"/>
          <w:color w:val="auto"/>
          <w:sz w:val="28"/>
          <w:szCs w:val="28"/>
          <w:u w:val="none"/>
        </w:rPr>
        <w:t>安全责任由乙方自行负责，甲方不负任何责任。</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4.9在本协议规定的活动日期内，甲方有权根据实际需要，提前5天通知乙方调整演出场次（时段），如果演出场次超过约定场次则需要单独增加演出活动费用。</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4.10因不可抗力（如洪水、恶劣天气、疫情等）导致本合同全部或部分不能履行，甲乙双方都有权利要求另一方延迟履行本合同，若需解除本合同，需经甲乙双方认可，延迟或解除本合同产生的前期费用，经甲乙双方认可后按合同约定执行，未产生的费用互不支付。</w:t>
      </w:r>
    </w:p>
    <w:p>
      <w:pPr>
        <w:keepNext w:val="0"/>
        <w:keepLines w:val="0"/>
        <w:pageBreakBefore w:val="0"/>
        <w:kinsoku/>
        <w:wordWrap/>
        <w:topLinePunct w:val="0"/>
        <w:autoSpaceDE/>
        <w:autoSpaceDN/>
        <w:bidi w:val="0"/>
        <w:adjustRightInd/>
        <w:spacing w:line="470" w:lineRule="exact"/>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五.付款期限及方式</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5.1合同总金额为</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元，大写人民币</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整</w:t>
      </w:r>
      <w:r>
        <w:rPr>
          <w:rFonts w:hint="eastAsia" w:asciiTheme="minorEastAsia" w:hAnsiTheme="minorEastAsia" w:eastAsiaTheme="minorEastAsia" w:cstheme="minorEastAsia"/>
          <w:color w:val="auto"/>
          <w:sz w:val="28"/>
          <w:szCs w:val="28"/>
        </w:rPr>
        <w:t>。</w:t>
      </w:r>
    </w:p>
    <w:p>
      <w:pPr>
        <w:keepNext w:val="0"/>
        <w:keepLines w:val="0"/>
        <w:pageBreakBefore w:val="0"/>
        <w:kinsoku/>
        <w:wordWrap/>
        <w:overflowPunct w:val="0"/>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5.2付款方式：合同签订后5日内支付签约合同价款的30%；做完全部清单内容并验收合格后7日内支付签约合同价款的50%；剩余价款在端午龙舟会活动结束并拆除清理相关设施设备（腾空场地）后</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日内付清。如遇不可抗力或特殊情况致使本次活动没有进行完毕，双方协商确定如何支付合同价款。</w:t>
      </w:r>
    </w:p>
    <w:p>
      <w:pPr>
        <w:keepNext w:val="0"/>
        <w:keepLines w:val="0"/>
        <w:pageBreakBefore w:val="0"/>
        <w:kinsoku/>
        <w:wordWrap/>
        <w:topLinePunct w:val="0"/>
        <w:autoSpaceDE/>
        <w:autoSpaceDN/>
        <w:bidi w:val="0"/>
        <w:adjustRightInd/>
        <w:spacing w:line="47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5.3履约保证金：合同金额的10%，</w:t>
      </w:r>
      <w:r>
        <w:rPr>
          <w:rFonts w:hint="eastAsia" w:asciiTheme="minorEastAsia" w:hAnsiTheme="minorEastAsia" w:eastAsiaTheme="minorEastAsia" w:cstheme="minorEastAsia"/>
          <w:color w:val="auto"/>
          <w:kern w:val="0"/>
          <w:sz w:val="28"/>
          <w:szCs w:val="28"/>
          <w:u w:val="single"/>
        </w:rPr>
        <w:t>乙方在</w:t>
      </w:r>
      <w:r>
        <w:rPr>
          <w:rFonts w:hint="eastAsia" w:asciiTheme="minorEastAsia" w:hAnsiTheme="minorEastAsia" w:eastAsiaTheme="minorEastAsia" w:cstheme="minorEastAsia"/>
          <w:color w:val="auto"/>
          <w:kern w:val="0"/>
          <w:sz w:val="28"/>
          <w:szCs w:val="28"/>
          <w:u w:val="single"/>
          <w:lang w:val="en-US" w:eastAsia="zh-CN"/>
        </w:rPr>
        <w:t>中标通知书发出</w:t>
      </w:r>
      <w:r>
        <w:rPr>
          <w:rFonts w:hint="eastAsia" w:asciiTheme="minorEastAsia" w:hAnsiTheme="minorEastAsia" w:eastAsiaTheme="minorEastAsia" w:cstheme="minorEastAsia"/>
          <w:color w:val="auto"/>
          <w:kern w:val="0"/>
          <w:sz w:val="28"/>
          <w:szCs w:val="28"/>
          <w:u w:val="single"/>
        </w:rPr>
        <w:t>后3日内交纳到甲方指定账户</w:t>
      </w:r>
      <w:r>
        <w:rPr>
          <w:rFonts w:hint="eastAsia" w:asciiTheme="minorEastAsia" w:hAnsiTheme="minorEastAsia" w:eastAsiaTheme="minorEastAsia" w:cstheme="minorEastAsia"/>
          <w:color w:val="auto"/>
          <w:kern w:val="0"/>
          <w:sz w:val="28"/>
          <w:szCs w:val="28"/>
        </w:rPr>
        <w:t>。退还方式为：甲方在活动结束</w:t>
      </w:r>
      <w:r>
        <w:rPr>
          <w:rFonts w:hint="eastAsia" w:asciiTheme="minorEastAsia" w:hAnsiTheme="minorEastAsia" w:eastAsiaTheme="minorEastAsia" w:cstheme="minorEastAsia"/>
          <w:color w:val="auto"/>
          <w:sz w:val="28"/>
          <w:szCs w:val="28"/>
        </w:rPr>
        <w:t>并拆除清理相关设施设备</w:t>
      </w:r>
      <w:r>
        <w:rPr>
          <w:rFonts w:hint="eastAsia" w:asciiTheme="minorEastAsia" w:hAnsiTheme="minorEastAsia" w:eastAsiaTheme="minorEastAsia" w:cstheme="minorEastAsia"/>
          <w:color w:val="auto"/>
          <w:kern w:val="0"/>
          <w:sz w:val="28"/>
          <w:szCs w:val="28"/>
        </w:rPr>
        <w:t>后</w:t>
      </w:r>
      <w:r>
        <w:rPr>
          <w:rFonts w:hint="eastAsia" w:asciiTheme="minorEastAsia" w:hAnsiTheme="minorEastAsia" w:eastAsiaTheme="minorEastAsia" w:cstheme="minorEastAsia"/>
          <w:color w:val="auto"/>
          <w:kern w:val="0"/>
          <w:sz w:val="28"/>
          <w:szCs w:val="28"/>
          <w:lang w:val="en-US" w:eastAsia="zh-CN"/>
        </w:rPr>
        <w:t>10</w:t>
      </w:r>
      <w:r>
        <w:rPr>
          <w:rFonts w:hint="eastAsia" w:asciiTheme="minorEastAsia" w:hAnsiTheme="minorEastAsia" w:eastAsiaTheme="minorEastAsia" w:cstheme="minorEastAsia"/>
          <w:color w:val="auto"/>
          <w:kern w:val="0"/>
          <w:sz w:val="28"/>
          <w:szCs w:val="28"/>
        </w:rPr>
        <w:t>日内无息退还。</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六.</w:t>
      </w:r>
      <w:r>
        <w:rPr>
          <w:rFonts w:hint="eastAsia" w:asciiTheme="minorEastAsia" w:hAnsiTheme="minorEastAsia" w:eastAsiaTheme="minorEastAsia" w:cstheme="minorEastAsia"/>
          <w:b/>
          <w:color w:val="auto"/>
          <w:sz w:val="28"/>
          <w:szCs w:val="28"/>
        </w:rPr>
        <w:t>违约责任</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6.1 乙方若未按照相关约定中任何一条完成，视为违约，应向甲方支付本合同总价款10%的违约金，在甲方支付合同价款时扣除；</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6.2甲方如若未按照付款期限约定的时间支付服务费超过一个月，视为违约，甲方需支付乙方相应的滞纳金（滞纳金=应该缴纳的税款*滞纳天数*0.05%）；</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.3任何一方因自身原因未履行本合同的，必须及时以书面形式通知对方并积极采取补救措施。任何一方都不得无故提前解除本合同，否则违约方应按合同总额的 10 %支付守约方违约金，并由此造成的经济损失，一律由违约方承担；</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6.4乙方向甲方提供本次活动相关人员资料信息等应确保具备真实性、合法性且无任何权利瑕疵，</w:t>
      </w:r>
    </w:p>
    <w:p>
      <w:pPr>
        <w:pStyle w:val="32"/>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6.5乙方必须提前完成一切应有乙方负责的审批手续，否则，乙方因此被相关部门处罚或者被第三方主张侵权责任的，一律由乙方全权负责，并赔偿给甲方造成的损失。</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七.本合同签订后，经双方当事人协商一致，可以对本合同有关条款进行变更或者补充，但应当以书面形式确认。上述文件一经签署，即具有法律效力并成为本合同的有效组成部分。</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八.因本合同引起的任何争议，甲乙双方应通过友好协商的方式解决，协商不成，任何一方可将争议提交铜梁区人民法院，通过诉讼程序予以解决。</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九.本合同未尽事宜，可由甲乙双方共同协商另行签订补充协议，补充协议与本协议有同等法律效力。</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十.本合同一式肆份，甲乙双方各执贰份，具有同等法律效力。</w:t>
      </w:r>
    </w:p>
    <w:p>
      <w:pPr>
        <w:keepNext w:val="0"/>
        <w:keepLines w:val="0"/>
        <w:pageBreakBefore w:val="0"/>
        <w:kinsoku/>
        <w:wordWrap/>
        <w:topLinePunct w:val="0"/>
        <w:autoSpaceDE/>
        <w:autoSpaceDN/>
        <w:bidi w:val="0"/>
        <w:adjustRightInd/>
        <w:spacing w:line="47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十一.本合同经双方法定代表人或授权代表签字并盖章之日起生效。</w:t>
      </w:r>
    </w:p>
    <w:p>
      <w:pPr>
        <w:keepNext w:val="0"/>
        <w:keepLines w:val="0"/>
        <w:pageBreakBefore w:val="0"/>
        <w:kinsoku/>
        <w:wordWrap/>
        <w:topLinePunct w:val="0"/>
        <w:autoSpaceDE/>
        <w:autoSpaceDN/>
        <w:bidi w:val="0"/>
        <w:adjustRightInd/>
        <w:spacing w:line="47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（以下除附件外无正文）</w:t>
      </w:r>
    </w:p>
    <w:p>
      <w:pPr>
        <w:keepNext w:val="0"/>
        <w:keepLines w:val="0"/>
        <w:pageBreakBefore w:val="0"/>
        <w:kinsoku/>
        <w:wordWrap/>
        <w:topLinePunct w:val="0"/>
        <w:autoSpaceDE/>
        <w:autoSpaceDN/>
        <w:bidi w:val="0"/>
        <w:adjustRightInd/>
        <w:spacing w:line="470" w:lineRule="exact"/>
        <w:ind w:left="480" w:hanging="420" w:hangingChars="150"/>
        <w:rPr>
          <w:rFonts w:hint="eastAsia" w:asciiTheme="minorEastAsia" w:hAnsiTheme="minorEastAsia" w:eastAsiaTheme="minorEastAsia" w:cstheme="minorEastAsia"/>
          <w:color w:val="000000"/>
          <w:sz w:val="28"/>
          <w:szCs w:val="28"/>
        </w:rPr>
      </w:pPr>
    </w:p>
    <w:p>
      <w:pPr>
        <w:keepNext w:val="0"/>
        <w:keepLines w:val="0"/>
        <w:pageBreakBefore w:val="0"/>
        <w:kinsoku/>
        <w:wordWrap/>
        <w:topLinePunct w:val="0"/>
        <w:autoSpaceDE/>
        <w:autoSpaceDN/>
        <w:bidi w:val="0"/>
        <w:adjustRightInd/>
        <w:spacing w:line="470" w:lineRule="exact"/>
        <w:ind w:left="480" w:hanging="420" w:hangingChars="150"/>
        <w:rPr>
          <w:rFonts w:hint="eastAsia" w:asciiTheme="minorEastAsia" w:hAnsiTheme="minorEastAsia" w:eastAsiaTheme="minorEastAsia" w:cstheme="minorEastAsia"/>
          <w:color w:val="000000"/>
          <w:sz w:val="28"/>
          <w:szCs w:val="28"/>
        </w:rPr>
      </w:pPr>
    </w:p>
    <w:p>
      <w:pPr>
        <w:pStyle w:val="247"/>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sz w:val="28"/>
          <w:szCs w:val="28"/>
        </w:rPr>
      </w:pPr>
    </w:p>
    <w:p>
      <w:pPr>
        <w:pStyle w:val="247"/>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sz w:val="28"/>
          <w:szCs w:val="28"/>
        </w:rPr>
      </w:pPr>
    </w:p>
    <w:p>
      <w:pPr>
        <w:pStyle w:val="247"/>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sz w:val="28"/>
          <w:szCs w:val="28"/>
        </w:rPr>
      </w:pPr>
    </w:p>
    <w:p>
      <w:pPr>
        <w:pStyle w:val="247"/>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sz w:val="28"/>
          <w:szCs w:val="28"/>
        </w:rPr>
      </w:pPr>
    </w:p>
    <w:p>
      <w:pPr>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甲方： </w:t>
      </w:r>
      <w:r>
        <w:rPr>
          <w:rFonts w:hint="eastAsia" w:asciiTheme="minorEastAsia" w:hAnsiTheme="minorEastAsia" w:eastAsiaTheme="minorEastAsia" w:cstheme="minorEastAsia"/>
          <w:bCs/>
          <w:color w:val="000000"/>
          <w:sz w:val="28"/>
          <w:szCs w:val="28"/>
        </w:rPr>
        <w:t>重庆市</w:t>
      </w:r>
      <w:r>
        <w:rPr>
          <w:rFonts w:hint="eastAsia" w:asciiTheme="minorEastAsia" w:hAnsiTheme="minorEastAsia" w:eastAsiaTheme="minorEastAsia" w:cstheme="minorEastAsia"/>
          <w:bCs/>
          <w:color w:val="000000"/>
          <w:sz w:val="28"/>
          <w:szCs w:val="28"/>
          <w:lang w:val="en-US" w:eastAsia="zh-CN"/>
        </w:rPr>
        <w:t>安居古城迎龙</w:t>
      </w: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eastAsia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 xml:space="preserve"> 乙方：                           </w:t>
      </w:r>
      <w:r>
        <w:rPr>
          <w:rFonts w:hint="eastAsia" w:asciiTheme="minorEastAsia" w:hAnsiTheme="minorEastAsia" w:eastAsiaTheme="minorEastAsia" w:cstheme="minorEastAsia"/>
          <w:bCs/>
          <w:color w:val="000000"/>
          <w:sz w:val="28"/>
          <w:szCs w:val="28"/>
        </w:rPr>
        <w:t xml:space="preserve">有限公司（盖章）   </w:t>
      </w: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eastAsiaTheme="minorEastAsia" w:cstheme="minorEastAsia"/>
          <w:b/>
          <w:bCs/>
          <w:kern w:val="0"/>
          <w:sz w:val="28"/>
          <w:szCs w:val="28"/>
        </w:rPr>
        <w:t xml:space="preserve"> </w:t>
      </w:r>
      <w:r>
        <w:rPr>
          <w:rFonts w:hint="eastAsia" w:asciiTheme="minorEastAsia" w:hAnsiTheme="minorEastAsia" w:eastAsiaTheme="minorEastAsia" w:cstheme="minorEastAsia"/>
          <w:b/>
          <w:color w:val="000000"/>
          <w:sz w:val="28"/>
          <w:szCs w:val="28"/>
        </w:rPr>
        <w:t xml:space="preserve">  </w:t>
      </w:r>
    </w:p>
    <w:p>
      <w:pPr>
        <w:pStyle w:val="2"/>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sz w:val="28"/>
          <w:szCs w:val="28"/>
        </w:rPr>
      </w:pPr>
    </w:p>
    <w:p>
      <w:pPr>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法定代表人或其授权代表：              法定代表人或其授权代表：</w:t>
      </w:r>
    </w:p>
    <w:p>
      <w:pPr>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b/>
          <w:color w:val="000000"/>
          <w:sz w:val="28"/>
          <w:szCs w:val="28"/>
        </w:rPr>
      </w:pPr>
    </w:p>
    <w:p>
      <w:pPr>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000000"/>
          <w:sz w:val="28"/>
          <w:szCs w:val="28"/>
        </w:rPr>
        <w:t>经办人：</w:t>
      </w:r>
    </w:p>
    <w:p>
      <w:pPr>
        <w:keepNext w:val="0"/>
        <w:keepLines w:val="0"/>
        <w:pageBreakBefore w:val="0"/>
        <w:kinsoku/>
        <w:wordWrap/>
        <w:topLinePunct w:val="0"/>
        <w:autoSpaceDE/>
        <w:autoSpaceDN/>
        <w:bidi w:val="0"/>
        <w:adjustRightInd/>
        <w:spacing w:line="470" w:lineRule="exact"/>
        <w:ind w:left="482" w:hanging="422" w:hangingChars="1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keepNext w:val="0"/>
        <w:keepLines w:val="0"/>
        <w:pageBreakBefore w:val="0"/>
        <w:kinsoku/>
        <w:wordWrap/>
        <w:topLinePunct w:val="0"/>
        <w:autoSpaceDE/>
        <w:autoSpaceDN/>
        <w:bidi w:val="0"/>
        <w:adjustRightInd/>
        <w:spacing w:line="47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签约日期：20</w:t>
      </w:r>
      <w:r>
        <w:rPr>
          <w:rFonts w:hint="eastAsia" w:asciiTheme="minorEastAsia" w:hAnsiTheme="minorEastAsia" w:eastAsiaTheme="minorEastAsia" w:cstheme="minorEastAsia"/>
          <w:bCs/>
          <w:color w:val="000000"/>
          <w:sz w:val="28"/>
          <w:szCs w:val="28"/>
          <w:lang w:val="en-US" w:eastAsia="zh-CN"/>
        </w:rPr>
        <w:t>22</w:t>
      </w:r>
      <w:r>
        <w:rPr>
          <w:rFonts w:hint="eastAsia" w:asciiTheme="minorEastAsia" w:hAnsiTheme="minorEastAsia" w:eastAsiaTheme="minorEastAsia" w:cstheme="minorEastAsia"/>
          <w:bCs/>
          <w:color w:val="000000"/>
          <w:sz w:val="28"/>
          <w:szCs w:val="28"/>
        </w:rPr>
        <w:t xml:space="preserve">年     月     日        签约地点：       </w:t>
      </w:r>
    </w:p>
    <w:p>
      <w:pPr>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color w:val="auto"/>
          <w:sz w:val="28"/>
          <w:szCs w:val="28"/>
        </w:rPr>
      </w:pP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8"/>
          <w:szCs w:val="28"/>
        </w:rPr>
        <w:t>附件《202</w:t>
      </w:r>
      <w:r>
        <w:rPr>
          <w:rFonts w:hint="eastAsia" w:asciiTheme="minorEastAsia" w:hAnsiTheme="minorEastAsia" w:eastAsiaTheme="minorEastAsia" w:cstheme="minorEastAsia"/>
          <w:color w:val="auto"/>
          <w:sz w:val="28"/>
          <w:szCs w:val="28"/>
          <w:lang w:val="en-US" w:eastAsia="zh-CN"/>
        </w:rPr>
        <w:t>2年</w:t>
      </w:r>
      <w:r>
        <w:rPr>
          <w:rFonts w:hint="eastAsia" w:asciiTheme="minorEastAsia" w:hAnsiTheme="minorEastAsia" w:eastAsiaTheme="minorEastAsia" w:cstheme="minorEastAsia"/>
          <w:color w:val="auto"/>
          <w:sz w:val="28"/>
          <w:szCs w:val="28"/>
        </w:rPr>
        <w:t>安居古城端午龙舟会活动中标清单》</w:t>
      </w:r>
    </w:p>
    <w:p>
      <w:pPr>
        <w:bidi w:val="0"/>
      </w:pPr>
    </w:p>
    <w:p>
      <w:pPr>
        <w:pStyle w:val="2"/>
      </w:pPr>
    </w:p>
    <w:p>
      <w:pPr>
        <w:bidi w:val="0"/>
      </w:pPr>
    </w:p>
    <w:p>
      <w:pPr>
        <w:bidi w:val="0"/>
      </w:pPr>
    </w:p>
    <w:p>
      <w:pPr>
        <w:bidi w:val="0"/>
      </w:pPr>
    </w:p>
    <w:p>
      <w:pPr>
        <w:bidi w:val="0"/>
      </w:pPr>
    </w:p>
    <w:p>
      <w:pPr>
        <w:bidi w:val="0"/>
      </w:pPr>
    </w:p>
    <w:p>
      <w:pPr>
        <w:bidi w:val="0"/>
      </w:pPr>
    </w:p>
    <w:p>
      <w:pPr>
        <w:keepNext/>
        <w:keepLines/>
        <w:spacing w:line="440" w:lineRule="exact"/>
        <w:ind w:left="560" w:firstLine="720" w:firstLineChars="200"/>
        <w:jc w:val="center"/>
        <w:outlineLvl w:val="0"/>
        <w:rPr>
          <w:rFonts w:ascii="宋体" w:hAnsi="宋体" w:cs="宋体"/>
          <w:sz w:val="36"/>
        </w:rPr>
      </w:pPr>
      <w:r>
        <w:rPr>
          <w:rFonts w:ascii="宋体" w:hAnsi="宋体" w:cs="宋体"/>
          <w:sz w:val="36"/>
        </w:rPr>
        <w:t>第七篇响应文件编制要求</w:t>
      </w:r>
      <w:bookmarkEnd w:id="80"/>
      <w:bookmarkEnd w:id="81"/>
      <w:bookmarkEnd w:id="82"/>
    </w:p>
    <w:p>
      <w:pPr>
        <w:spacing w:line="440" w:lineRule="exact"/>
        <w:ind w:firstLine="482" w:firstLineChars="200"/>
        <w:rPr>
          <w:rFonts w:ascii="宋体" w:hAnsi="宋体" w:cs="宋体"/>
          <w:b/>
          <w:sz w:val="24"/>
        </w:rPr>
      </w:pPr>
      <w:bookmarkStart w:id="83" w:name="_Toc25497"/>
      <w:r>
        <w:rPr>
          <w:rFonts w:ascii="宋体" w:hAnsi="宋体" w:cs="宋体"/>
          <w:b/>
          <w:sz w:val="24"/>
        </w:rPr>
        <w:t>一、经济部分</w:t>
      </w:r>
      <w:bookmarkEnd w:id="83"/>
    </w:p>
    <w:p>
      <w:pPr>
        <w:spacing w:line="440" w:lineRule="exact"/>
        <w:ind w:firstLine="480" w:firstLineChars="200"/>
        <w:rPr>
          <w:rFonts w:ascii="宋体" w:hAnsi="宋体" w:cs="宋体"/>
          <w:sz w:val="24"/>
        </w:rPr>
      </w:pPr>
      <w:r>
        <w:rPr>
          <w:rFonts w:ascii="宋体" w:hAnsi="宋体" w:cs="宋体"/>
          <w:sz w:val="24"/>
        </w:rPr>
        <w:t>（一）竞争性磋商报价函</w:t>
      </w:r>
    </w:p>
    <w:p>
      <w:pPr>
        <w:spacing w:line="440" w:lineRule="exact"/>
        <w:ind w:firstLine="480" w:firstLineChars="200"/>
        <w:rPr>
          <w:rFonts w:ascii="宋体" w:hAnsi="宋体" w:cs="宋体"/>
          <w:sz w:val="24"/>
        </w:rPr>
      </w:pPr>
      <w:r>
        <w:rPr>
          <w:rFonts w:ascii="宋体" w:hAnsi="宋体" w:cs="宋体"/>
          <w:sz w:val="24"/>
        </w:rPr>
        <w:t>（二）明细报价表</w:t>
      </w:r>
    </w:p>
    <w:p>
      <w:pPr>
        <w:spacing w:line="440" w:lineRule="exact"/>
        <w:ind w:firstLine="482" w:firstLineChars="200"/>
        <w:rPr>
          <w:rFonts w:ascii="宋体" w:hAnsi="宋体" w:cs="宋体"/>
          <w:b/>
          <w:sz w:val="24"/>
        </w:rPr>
      </w:pPr>
      <w:bookmarkStart w:id="84" w:name="_Toc18489"/>
      <w:r>
        <w:rPr>
          <w:rFonts w:ascii="宋体" w:hAnsi="宋体" w:cs="宋体"/>
          <w:b/>
          <w:sz w:val="24"/>
        </w:rPr>
        <w:t>二、</w:t>
      </w:r>
      <w:r>
        <w:rPr>
          <w:rFonts w:hint="eastAsia" w:ascii="宋体" w:hAnsi="宋体" w:cs="宋体"/>
          <w:b/>
          <w:sz w:val="24"/>
        </w:rPr>
        <w:t>服务</w:t>
      </w:r>
      <w:r>
        <w:rPr>
          <w:rFonts w:ascii="宋体" w:hAnsi="宋体" w:cs="宋体"/>
          <w:b/>
          <w:sz w:val="24"/>
        </w:rPr>
        <w:t>部分</w:t>
      </w:r>
      <w:bookmarkEnd w:id="84"/>
    </w:p>
    <w:p>
      <w:pPr>
        <w:spacing w:line="440" w:lineRule="exact"/>
        <w:ind w:firstLine="480" w:firstLineChars="200"/>
        <w:rPr>
          <w:rFonts w:ascii="宋体" w:hAnsi="宋体" w:cs="宋体"/>
          <w:sz w:val="24"/>
        </w:rPr>
      </w:pPr>
      <w:r>
        <w:rPr>
          <w:rFonts w:ascii="宋体" w:hAnsi="宋体" w:cs="宋体"/>
          <w:sz w:val="24"/>
        </w:rPr>
        <w:t>（一）方案</w:t>
      </w:r>
    </w:p>
    <w:p>
      <w:pPr>
        <w:spacing w:line="440" w:lineRule="exact"/>
        <w:ind w:firstLine="480" w:firstLineChars="200"/>
        <w:rPr>
          <w:rFonts w:ascii="宋体" w:hAnsi="宋体" w:cs="宋体"/>
          <w:sz w:val="24"/>
        </w:rPr>
      </w:pPr>
      <w:r>
        <w:rPr>
          <w:rFonts w:ascii="宋体" w:hAnsi="宋体" w:cs="宋体"/>
          <w:sz w:val="24"/>
        </w:rPr>
        <w:t>（二）服务响应偏离表</w:t>
      </w:r>
    </w:p>
    <w:p>
      <w:pPr>
        <w:spacing w:line="440" w:lineRule="exact"/>
        <w:ind w:firstLine="482" w:firstLineChars="200"/>
        <w:rPr>
          <w:rFonts w:ascii="宋体" w:hAnsi="宋体" w:cs="宋体"/>
          <w:b/>
          <w:sz w:val="24"/>
        </w:rPr>
      </w:pPr>
      <w:bookmarkStart w:id="85" w:name="_Toc7248"/>
      <w:r>
        <w:rPr>
          <w:rFonts w:ascii="宋体" w:hAnsi="宋体" w:cs="宋体"/>
          <w:b/>
          <w:sz w:val="24"/>
        </w:rPr>
        <w:t>三、商务部分</w:t>
      </w:r>
      <w:bookmarkEnd w:id="85"/>
    </w:p>
    <w:p>
      <w:pPr>
        <w:spacing w:line="440" w:lineRule="exact"/>
        <w:ind w:firstLine="480" w:firstLineChars="200"/>
        <w:rPr>
          <w:rFonts w:ascii="宋体" w:hAnsi="宋体" w:cs="宋体"/>
          <w:sz w:val="24"/>
        </w:rPr>
      </w:pPr>
      <w:r>
        <w:rPr>
          <w:rFonts w:ascii="宋体" w:hAnsi="宋体" w:cs="宋体"/>
          <w:sz w:val="24"/>
        </w:rPr>
        <w:t>（一）商务要求响应情况</w:t>
      </w:r>
    </w:p>
    <w:p>
      <w:pPr>
        <w:spacing w:line="440" w:lineRule="exact"/>
        <w:ind w:firstLine="480" w:firstLineChars="200"/>
        <w:rPr>
          <w:rFonts w:ascii="宋体" w:hAnsi="宋体" w:cs="宋体"/>
          <w:sz w:val="24"/>
        </w:rPr>
      </w:pPr>
      <w:r>
        <w:rPr>
          <w:rFonts w:ascii="宋体" w:hAnsi="宋体" w:cs="宋体"/>
          <w:sz w:val="24"/>
        </w:rPr>
        <w:t>（二）商务响应偏离表</w:t>
      </w:r>
    </w:p>
    <w:p>
      <w:pPr>
        <w:spacing w:line="440" w:lineRule="exact"/>
        <w:ind w:firstLine="480" w:firstLineChars="200"/>
        <w:rPr>
          <w:rFonts w:ascii="宋体" w:hAnsi="宋体" w:cs="宋体"/>
          <w:sz w:val="24"/>
        </w:rPr>
      </w:pPr>
      <w:r>
        <w:rPr>
          <w:rFonts w:ascii="宋体" w:hAnsi="宋体" w:cs="宋体"/>
          <w:sz w:val="24"/>
        </w:rPr>
        <w:t>（三）其它承诺</w:t>
      </w:r>
    </w:p>
    <w:p>
      <w:pPr>
        <w:spacing w:line="440" w:lineRule="exact"/>
        <w:ind w:firstLine="482" w:firstLineChars="200"/>
        <w:rPr>
          <w:rFonts w:ascii="宋体" w:hAnsi="宋体" w:cs="宋体"/>
          <w:b/>
          <w:sz w:val="24"/>
        </w:rPr>
      </w:pPr>
      <w:bookmarkStart w:id="86" w:name="_Toc18521"/>
      <w:r>
        <w:rPr>
          <w:rFonts w:ascii="宋体" w:hAnsi="宋体" w:cs="宋体"/>
          <w:b/>
          <w:sz w:val="24"/>
        </w:rPr>
        <w:t>四、资格条件及其他</w:t>
      </w:r>
      <w:bookmarkEnd w:id="86"/>
    </w:p>
    <w:p>
      <w:pPr>
        <w:spacing w:line="360" w:lineRule="auto"/>
        <w:ind w:firstLine="480" w:firstLineChars="200"/>
        <w:rPr>
          <w:rFonts w:ascii="宋体" w:hAnsi="宋体" w:cs="宋体"/>
          <w:sz w:val="24"/>
        </w:rPr>
      </w:pPr>
      <w:r>
        <w:rPr>
          <w:rFonts w:ascii="宋体" w:hAnsi="宋体" w:cs="宋体"/>
          <w:sz w:val="24"/>
        </w:rPr>
        <w:t>（一）</w:t>
      </w:r>
      <w:r>
        <w:rPr>
          <w:rFonts w:hint="eastAsia" w:ascii="宋体" w:hAnsi="宋体" w:cs="宋体"/>
          <w:sz w:val="24"/>
        </w:rPr>
        <w:t xml:space="preserve">供应商法人营业执照（副本）或事业单位法人证书（副本）或个体工商户营业执照或有效的自然人身份证明或社会团体法人登记证书（提供复印件）。 </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二</w:t>
      </w:r>
      <w:r>
        <w:rPr>
          <w:rFonts w:ascii="宋体" w:hAnsi="宋体" w:cs="宋体"/>
          <w:sz w:val="24"/>
        </w:rPr>
        <w:t>）法定代表人身份证明书（格式）</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三</w:t>
      </w:r>
      <w:r>
        <w:rPr>
          <w:rFonts w:ascii="宋体" w:hAnsi="宋体" w:cs="宋体"/>
          <w:sz w:val="24"/>
        </w:rPr>
        <w:t>）法定代表人授权委托书（格式）</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四</w:t>
      </w:r>
      <w:r>
        <w:rPr>
          <w:rFonts w:ascii="宋体" w:hAnsi="宋体" w:cs="宋体"/>
          <w:sz w:val="24"/>
        </w:rPr>
        <w:t>）提供</w:t>
      </w:r>
      <w:r>
        <w:rPr>
          <w:rFonts w:hint="eastAsia" w:ascii="宋体" w:hAnsi="宋体" w:cs="宋体"/>
          <w:sz w:val="24"/>
        </w:rPr>
        <w:t>2020年度或2021年度</w:t>
      </w:r>
      <w:r>
        <w:rPr>
          <w:rFonts w:ascii="宋体" w:hAnsi="宋体" w:cs="宋体"/>
          <w:sz w:val="24"/>
        </w:rPr>
        <w:t>财务状况报告（表）复印件，新成立或成立不满一年的组织和自然人无法提供财务状况报告（表）的，可提供银行出具的资信证明复印件</w:t>
      </w:r>
    </w:p>
    <w:p>
      <w:pPr>
        <w:spacing w:line="360" w:lineRule="auto"/>
        <w:ind w:firstLine="480" w:firstLineChars="200"/>
        <w:rPr>
          <w:rFonts w:hint="eastAsia" w:ascii="宋体" w:hAnsi="宋体" w:cs="宋体"/>
          <w:sz w:val="24"/>
        </w:rPr>
      </w:pPr>
      <w:r>
        <w:rPr>
          <w:rFonts w:hint="eastAsia" w:ascii="宋体" w:hAnsi="宋体" w:cs="宋体"/>
          <w:sz w:val="24"/>
        </w:rPr>
        <w:t>（五）国家水上运动中心摩托艇协会核发的摩托艇运动员证</w:t>
      </w:r>
      <w:r>
        <w:rPr>
          <w:rFonts w:hint="eastAsia" w:ascii="宋体" w:hAnsi="宋体" w:cs="宋体"/>
          <w:sz w:val="24"/>
          <w:lang w:eastAsia="zh-CN"/>
        </w:rPr>
        <w:t>、救生员证复印件</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）书面声明（格式）</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）税务登记证（副本）复印件和</w:t>
      </w:r>
      <w:r>
        <w:rPr>
          <w:rFonts w:ascii="宋体" w:hAnsi="宋体" w:cs="宋体"/>
          <w:sz w:val="24"/>
        </w:rPr>
        <w:t>社会保险缴纳证明材料</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lang w:val="en-US" w:eastAsia="zh-CN"/>
        </w:rPr>
        <w:t>八</w:t>
      </w:r>
      <w:r>
        <w:rPr>
          <w:rFonts w:ascii="宋体" w:hAnsi="宋体" w:cs="宋体"/>
          <w:sz w:val="24"/>
        </w:rPr>
        <w:t>）</w:t>
      </w:r>
      <w:r>
        <w:rPr>
          <w:rFonts w:hint="eastAsia" w:ascii="宋体" w:hAnsi="宋体" w:cs="宋体"/>
          <w:sz w:val="24"/>
        </w:rPr>
        <w:t>投标保证金缴纳证明</w:t>
      </w:r>
    </w:p>
    <w:p>
      <w:pPr>
        <w:spacing w:line="360" w:lineRule="auto"/>
        <w:ind w:firstLine="480" w:firstLineChars="200"/>
        <w:rPr>
          <w:rFonts w:ascii="宋体" w:hAnsi="宋体" w:cs="宋体"/>
          <w:b/>
          <w:sz w:val="24"/>
        </w:rPr>
      </w:pPr>
      <w:bookmarkStart w:id="87" w:name="_Toc194"/>
      <w:r>
        <w:rPr>
          <w:rFonts w:hint="eastAsia" w:ascii="宋体" w:hAnsi="宋体" w:cs="宋体"/>
          <w:sz w:val="24"/>
        </w:rPr>
        <w:t>说明：供应商按“多证合一”登记制度办理营业执照的，税务登记证（副本）和社会保险登记证以供应商所提供的营业执照（副本）复印件为准。</w:t>
      </w:r>
    </w:p>
    <w:p>
      <w:pPr>
        <w:spacing w:line="440" w:lineRule="exact"/>
        <w:ind w:firstLine="482" w:firstLineChars="200"/>
        <w:rPr>
          <w:rFonts w:ascii="宋体" w:hAnsi="宋体" w:cs="宋体"/>
          <w:b/>
          <w:sz w:val="24"/>
        </w:rPr>
      </w:pPr>
      <w:r>
        <w:rPr>
          <w:rFonts w:ascii="宋体" w:hAnsi="宋体" w:cs="宋体"/>
          <w:b/>
          <w:sz w:val="24"/>
        </w:rPr>
        <w:t>五、其他应提供的资料</w:t>
      </w:r>
      <w:bookmarkEnd w:id="87"/>
    </w:p>
    <w:p>
      <w:pPr>
        <w:spacing w:line="440" w:lineRule="exact"/>
        <w:ind w:firstLine="480" w:firstLineChars="200"/>
        <w:rPr>
          <w:rFonts w:ascii="宋体" w:hAnsi="宋体" w:cs="宋体"/>
          <w:sz w:val="24"/>
        </w:rPr>
      </w:pPr>
      <w:r>
        <w:rPr>
          <w:rFonts w:hint="eastAsia" w:ascii="宋体" w:hAnsi="宋体" w:cs="宋体"/>
          <w:sz w:val="24"/>
        </w:rPr>
        <w:t>（一）其他与项目有关的资料</w:t>
      </w:r>
    </w:p>
    <w:p>
      <w:pPr>
        <w:spacing w:line="440" w:lineRule="exact"/>
        <w:ind w:firstLine="480" w:firstLineChars="200"/>
        <w:rPr>
          <w:rFonts w:ascii="宋体" w:hAnsi="宋体" w:cs="宋体"/>
          <w:sz w:val="24"/>
        </w:rPr>
      </w:pPr>
    </w:p>
    <w:p>
      <w:pPr>
        <w:pStyle w:val="29"/>
        <w:ind w:left="1680"/>
        <w:rPr>
          <w:rFonts w:eastAsiaTheme="minorEastAsia"/>
          <w:lang w:eastAsia="zh-CN"/>
        </w:rPr>
      </w:pPr>
    </w:p>
    <w:p/>
    <w:p>
      <w:pPr>
        <w:pStyle w:val="29"/>
        <w:ind w:left="1680"/>
        <w:rPr>
          <w:rFonts w:eastAsiaTheme="minorEastAsia"/>
          <w:lang w:eastAsia="zh-CN"/>
        </w:rPr>
      </w:pPr>
    </w:p>
    <w:p/>
    <w:p/>
    <w:p>
      <w:pPr>
        <w:keepNext/>
        <w:keepLines/>
        <w:spacing w:line="440" w:lineRule="exact"/>
        <w:ind w:firstLine="562" w:firstLineChars="200"/>
        <w:rPr>
          <w:rFonts w:ascii="宋体" w:hAnsi="宋体" w:cs="宋体"/>
          <w:b/>
          <w:szCs w:val="28"/>
        </w:rPr>
      </w:pPr>
      <w:bookmarkStart w:id="88" w:name="_Toc16811"/>
      <w:r>
        <w:rPr>
          <w:rFonts w:ascii="宋体" w:hAnsi="宋体" w:cs="宋体"/>
          <w:b/>
          <w:szCs w:val="28"/>
        </w:rPr>
        <w:t>一、经济部分</w:t>
      </w:r>
      <w:bookmarkEnd w:id="88"/>
    </w:p>
    <w:p>
      <w:pPr>
        <w:tabs>
          <w:tab w:val="left" w:pos="6300"/>
        </w:tabs>
        <w:spacing w:line="440" w:lineRule="exact"/>
        <w:ind w:firstLine="560" w:firstLineChars="200"/>
        <w:rPr>
          <w:rFonts w:ascii="宋体" w:hAnsi="宋体" w:cs="宋体"/>
          <w:sz w:val="24"/>
        </w:rPr>
      </w:pPr>
      <w:r>
        <w:rPr>
          <w:rFonts w:ascii="宋体" w:hAnsi="宋体" w:cs="宋体"/>
          <w:szCs w:val="28"/>
        </w:rPr>
        <w:t>（一）竞争性磋商报价函</w:t>
      </w:r>
    </w:p>
    <w:p>
      <w:pPr>
        <w:tabs>
          <w:tab w:val="left" w:pos="6300"/>
        </w:tabs>
        <w:spacing w:line="440" w:lineRule="exact"/>
        <w:ind w:firstLine="482" w:firstLineChars="200"/>
        <w:jc w:val="center"/>
        <w:rPr>
          <w:rFonts w:ascii="宋体" w:hAnsi="宋体" w:cs="宋体"/>
          <w:b/>
          <w:sz w:val="24"/>
          <w:szCs w:val="24"/>
        </w:rPr>
      </w:pPr>
      <w:r>
        <w:rPr>
          <w:rFonts w:ascii="宋体" w:hAnsi="宋体" w:cs="宋体"/>
          <w:b/>
          <w:sz w:val="24"/>
          <w:szCs w:val="24"/>
        </w:rPr>
        <w:t>竞争性磋商报价函</w:t>
      </w:r>
    </w:p>
    <w:p>
      <w:pPr>
        <w:tabs>
          <w:tab w:val="left" w:pos="6300"/>
        </w:tabs>
        <w:spacing w:line="440" w:lineRule="exact"/>
        <w:ind w:firstLine="480" w:firstLineChars="200"/>
        <w:rPr>
          <w:rFonts w:ascii="宋体" w:hAnsi="宋体" w:cs="宋体"/>
          <w:sz w:val="24"/>
        </w:rPr>
      </w:pPr>
      <w:r>
        <w:rPr>
          <w:rFonts w:ascii="宋体" w:hAnsi="宋体" w:cs="宋体"/>
          <w:sz w:val="24"/>
          <w:u w:val="single"/>
        </w:rPr>
        <w:t>（采购代理机构名称）</w:t>
      </w:r>
      <w:r>
        <w:rPr>
          <w:rFonts w:ascii="宋体" w:hAnsi="宋体" w:cs="宋体"/>
          <w:sz w:val="24"/>
        </w:rPr>
        <w:t>：</w:t>
      </w:r>
    </w:p>
    <w:p>
      <w:pPr>
        <w:tabs>
          <w:tab w:val="left" w:pos="6300"/>
        </w:tabs>
        <w:spacing w:line="440" w:lineRule="exact"/>
        <w:ind w:firstLine="480" w:firstLineChars="200"/>
        <w:rPr>
          <w:rFonts w:ascii="宋体" w:hAnsi="宋体" w:cs="宋体"/>
          <w:sz w:val="24"/>
        </w:rPr>
      </w:pPr>
      <w:r>
        <w:rPr>
          <w:rFonts w:ascii="宋体" w:hAnsi="宋体" w:cs="宋体"/>
          <w:sz w:val="24"/>
        </w:rPr>
        <w:t>我方收到（磋商项目名称）的竞争性磋商文件，经详细研究，决定参加该项目的磋商。</w:t>
      </w:r>
    </w:p>
    <w:p>
      <w:pPr>
        <w:tabs>
          <w:tab w:val="left" w:pos="6300"/>
        </w:tabs>
        <w:spacing w:line="440" w:lineRule="exact"/>
        <w:ind w:firstLine="480" w:firstLineChars="200"/>
        <w:rPr>
          <w:rFonts w:ascii="宋体" w:hAnsi="宋体" w:cs="宋体"/>
          <w:sz w:val="24"/>
        </w:rPr>
      </w:pPr>
      <w:r>
        <w:rPr>
          <w:rFonts w:ascii="宋体" w:hAnsi="宋体" w:cs="宋体"/>
          <w:sz w:val="24"/>
        </w:rPr>
        <w:t>1.愿意按照竞争性磋商文件中的一切要求，提供本项目的服务，初始报价为人民币大写：</w:t>
      </w:r>
      <w:r>
        <w:rPr>
          <w:rFonts w:hint="eastAsia" w:ascii="宋体" w:hAnsi="宋体" w:cs="宋体"/>
          <w:sz w:val="24"/>
          <w:u w:val="single"/>
        </w:rPr>
        <w:t xml:space="preserve">   </w:t>
      </w:r>
      <w:r>
        <w:rPr>
          <w:rFonts w:ascii="宋体" w:hAnsi="宋体" w:cs="宋体"/>
          <w:sz w:val="24"/>
        </w:rPr>
        <w:t>元整；人民币小写：</w:t>
      </w:r>
      <w:r>
        <w:rPr>
          <w:rFonts w:hint="eastAsia" w:ascii="宋体" w:hAnsi="宋体" w:cs="宋体"/>
          <w:sz w:val="24"/>
          <w:u w:val="single"/>
        </w:rPr>
        <w:t xml:space="preserve">   </w:t>
      </w:r>
      <w:r>
        <w:rPr>
          <w:rFonts w:ascii="宋体" w:hAnsi="宋体" w:cs="宋体"/>
          <w:sz w:val="24"/>
        </w:rPr>
        <w:t>元。以我</w:t>
      </w:r>
      <w:r>
        <w:rPr>
          <w:rFonts w:hint="eastAsia" w:ascii="宋体" w:hAnsi="宋体" w:cs="宋体"/>
          <w:sz w:val="24"/>
        </w:rPr>
        <w:t>方</w:t>
      </w:r>
      <w:r>
        <w:rPr>
          <w:rFonts w:ascii="宋体" w:hAnsi="宋体" w:cs="宋体"/>
          <w:sz w:val="24"/>
        </w:rPr>
        <w:t>最后报价为准。</w:t>
      </w:r>
    </w:p>
    <w:p>
      <w:pPr>
        <w:tabs>
          <w:tab w:val="left" w:pos="6300"/>
        </w:tabs>
        <w:spacing w:line="440" w:lineRule="exact"/>
        <w:ind w:firstLine="480" w:firstLineChars="200"/>
        <w:rPr>
          <w:rFonts w:ascii="宋体" w:hAnsi="宋体" w:cs="宋体"/>
          <w:sz w:val="24"/>
        </w:rPr>
      </w:pPr>
      <w:r>
        <w:rPr>
          <w:rFonts w:ascii="宋体" w:hAnsi="宋体" w:cs="宋体"/>
          <w:sz w:val="24"/>
        </w:rPr>
        <w:t>2.我方现提交的响应文件为：响应文件正本</w:t>
      </w:r>
      <w:r>
        <w:rPr>
          <w:rFonts w:hint="eastAsia" w:ascii="宋体" w:hAnsi="宋体" w:cs="宋体"/>
          <w:sz w:val="24"/>
          <w:u w:val="single"/>
        </w:rPr>
        <w:t xml:space="preserve">   </w:t>
      </w:r>
      <w:r>
        <w:rPr>
          <w:rFonts w:ascii="宋体" w:hAnsi="宋体" w:cs="宋体"/>
          <w:sz w:val="24"/>
        </w:rPr>
        <w:t>份，副本</w:t>
      </w:r>
      <w:r>
        <w:rPr>
          <w:rFonts w:hint="eastAsia" w:ascii="宋体" w:hAnsi="宋体" w:cs="宋体"/>
          <w:sz w:val="24"/>
          <w:u w:val="single"/>
        </w:rPr>
        <w:t xml:space="preserve">   </w:t>
      </w:r>
      <w:r>
        <w:rPr>
          <w:rFonts w:ascii="宋体" w:hAnsi="宋体" w:cs="宋体"/>
          <w:sz w:val="24"/>
        </w:rPr>
        <w:t>份，电子文档</w:t>
      </w:r>
      <w:r>
        <w:rPr>
          <w:rFonts w:hint="eastAsia" w:ascii="宋体" w:hAnsi="宋体" w:cs="宋体"/>
          <w:sz w:val="24"/>
          <w:u w:val="single"/>
        </w:rPr>
        <w:t xml:space="preserve">   </w:t>
      </w:r>
      <w:r>
        <w:rPr>
          <w:rFonts w:ascii="宋体" w:hAnsi="宋体" w:cs="宋体"/>
          <w:sz w:val="24"/>
        </w:rPr>
        <w:t>份。</w:t>
      </w:r>
    </w:p>
    <w:p>
      <w:pPr>
        <w:tabs>
          <w:tab w:val="left" w:pos="6300"/>
        </w:tabs>
        <w:spacing w:line="440" w:lineRule="exact"/>
        <w:ind w:firstLine="480" w:firstLineChars="200"/>
        <w:rPr>
          <w:rFonts w:ascii="宋体" w:hAnsi="宋体" w:cs="宋体"/>
          <w:sz w:val="24"/>
        </w:rPr>
      </w:pPr>
      <w:r>
        <w:rPr>
          <w:rFonts w:ascii="宋体" w:hAnsi="宋体" w:cs="宋体"/>
          <w:sz w:val="24"/>
        </w:rPr>
        <w:t>3.我方承诺：本次磋商的有效期为90天。</w:t>
      </w:r>
    </w:p>
    <w:p>
      <w:pPr>
        <w:tabs>
          <w:tab w:val="left" w:pos="6300"/>
        </w:tabs>
        <w:spacing w:line="440" w:lineRule="exact"/>
        <w:ind w:firstLine="480" w:firstLineChars="200"/>
        <w:rPr>
          <w:rFonts w:ascii="宋体" w:hAnsi="宋体" w:cs="宋体"/>
          <w:sz w:val="24"/>
        </w:rPr>
      </w:pPr>
      <w:r>
        <w:rPr>
          <w:rFonts w:ascii="宋体" w:hAnsi="宋体" w:cs="宋体"/>
          <w:sz w:val="24"/>
        </w:rPr>
        <w:t>4.我方完全理解和接受贵方竞争性磋商文件的一切规定和要求及评审办法。</w:t>
      </w:r>
    </w:p>
    <w:p>
      <w:pPr>
        <w:tabs>
          <w:tab w:val="left" w:pos="6300"/>
        </w:tabs>
        <w:spacing w:line="440" w:lineRule="exact"/>
        <w:ind w:firstLine="480" w:firstLineChars="200"/>
        <w:rPr>
          <w:rFonts w:ascii="宋体" w:hAnsi="宋体" w:cs="宋体"/>
          <w:sz w:val="24"/>
        </w:rPr>
      </w:pPr>
      <w:r>
        <w:rPr>
          <w:rFonts w:ascii="宋体" w:hAnsi="宋体" w:cs="宋体"/>
          <w:sz w:val="24"/>
        </w:rPr>
        <w:t>5.在整个竞争性磋商过程中，我方若有违规行为，接受按照《中华人民共和国政府采购法》和《竞争性磋商文件》之规定给予惩罚。</w:t>
      </w:r>
    </w:p>
    <w:p>
      <w:pPr>
        <w:tabs>
          <w:tab w:val="left" w:pos="6300"/>
        </w:tabs>
        <w:spacing w:line="440" w:lineRule="exact"/>
        <w:ind w:firstLine="480" w:firstLineChars="200"/>
        <w:rPr>
          <w:rFonts w:ascii="宋体" w:hAnsi="宋体" w:cs="宋体"/>
          <w:sz w:val="24"/>
        </w:rPr>
      </w:pPr>
      <w:r>
        <w:rPr>
          <w:rFonts w:ascii="宋体" w:hAnsi="宋体" w:cs="宋体"/>
          <w:sz w:val="24"/>
        </w:rPr>
        <w:t>6.我方若成为成交供应商，将按照最终磋商结果签订合同，并且严格履行合同义务。本承诺函将成为合同不可分割的一部分，与合同具有同等的法律效力。</w:t>
      </w:r>
    </w:p>
    <w:p>
      <w:pPr>
        <w:tabs>
          <w:tab w:val="left" w:pos="6300"/>
        </w:tabs>
        <w:spacing w:line="440" w:lineRule="exact"/>
        <w:ind w:firstLine="480" w:firstLineChars="200"/>
        <w:rPr>
          <w:rFonts w:ascii="宋体" w:hAnsi="宋体" w:eastAsia="宋体" w:cs="宋体"/>
          <w:sz w:val="24"/>
          <w:szCs w:val="22"/>
        </w:rPr>
      </w:pPr>
      <w:r>
        <w:rPr>
          <w:rFonts w:ascii="宋体" w:hAnsi="宋体" w:cs="宋体"/>
          <w:sz w:val="24"/>
        </w:rPr>
        <w:t>7.如果我方成为成交供应商，保证在接到成交通知书后，向采购代</w:t>
      </w:r>
      <w:r>
        <w:rPr>
          <w:rFonts w:ascii="宋体" w:hAnsi="宋体" w:eastAsia="宋体" w:cs="宋体"/>
          <w:sz w:val="24"/>
          <w:szCs w:val="22"/>
        </w:rPr>
        <w:t>理机构和</w:t>
      </w:r>
      <w:r>
        <w:rPr>
          <w:rFonts w:hint="eastAsia" w:ascii="宋体" w:hAnsi="宋体" w:eastAsia="宋体" w:cs="宋体"/>
          <w:sz w:val="24"/>
          <w:szCs w:val="22"/>
          <w:lang w:val="en-US" w:eastAsia="zh-CN"/>
        </w:rPr>
        <w:t>重庆市安居古城迎龙游乐有限公司</w:t>
      </w:r>
      <w:r>
        <w:rPr>
          <w:rFonts w:ascii="宋体" w:hAnsi="宋体" w:eastAsia="宋体" w:cs="宋体"/>
          <w:sz w:val="24"/>
          <w:szCs w:val="22"/>
        </w:rPr>
        <w:t>竞争性磋商文件规定的采购代理服务费。</w:t>
      </w:r>
    </w:p>
    <w:p>
      <w:pPr>
        <w:tabs>
          <w:tab w:val="left" w:pos="6300"/>
        </w:tabs>
        <w:spacing w:line="440" w:lineRule="exact"/>
        <w:ind w:firstLine="480" w:firstLineChars="200"/>
        <w:rPr>
          <w:rFonts w:ascii="宋体" w:hAnsi="宋体" w:cs="宋体"/>
          <w:sz w:val="24"/>
        </w:rPr>
      </w:pPr>
      <w:r>
        <w:rPr>
          <w:rFonts w:ascii="宋体" w:hAnsi="宋体" w:cs="宋体"/>
          <w:sz w:val="24"/>
        </w:rPr>
        <w:t>8.我方未为采购项目提供整体设计、规范编制或者项目管理、监理、检测等服务。</w:t>
      </w:r>
    </w:p>
    <w:p>
      <w:pPr>
        <w:tabs>
          <w:tab w:val="left" w:pos="2895"/>
        </w:tabs>
        <w:spacing w:line="440" w:lineRule="exact"/>
        <w:ind w:firstLine="480" w:firstLineChars="200"/>
        <w:rPr>
          <w:rFonts w:ascii="宋体" w:hAnsi="宋体" w:cs="宋体"/>
          <w:sz w:val="24"/>
        </w:rPr>
      </w:pPr>
    </w:p>
    <w:p>
      <w:pPr>
        <w:tabs>
          <w:tab w:val="left" w:pos="2895"/>
        </w:tabs>
        <w:spacing w:line="440" w:lineRule="exact"/>
        <w:ind w:firstLine="480" w:firstLineChars="200"/>
        <w:rPr>
          <w:rFonts w:ascii="宋体" w:hAnsi="宋体" w:cs="宋体"/>
          <w:sz w:val="24"/>
        </w:rPr>
      </w:pPr>
      <w:r>
        <w:rPr>
          <w:rFonts w:hint="eastAsia" w:ascii="宋体" w:hAnsi="宋体" w:cs="宋体"/>
          <w:sz w:val="24"/>
        </w:rPr>
        <w:t>供应商（公章）或自然人签署：</w:t>
      </w:r>
    </w:p>
    <w:p>
      <w:pPr>
        <w:tabs>
          <w:tab w:val="left" w:pos="2895"/>
        </w:tabs>
        <w:spacing w:line="440" w:lineRule="exact"/>
        <w:ind w:firstLine="480" w:firstLineChars="200"/>
        <w:rPr>
          <w:rFonts w:ascii="宋体" w:hAnsi="宋体" w:cs="宋体"/>
          <w:sz w:val="24"/>
        </w:rPr>
      </w:pPr>
      <w:r>
        <w:rPr>
          <w:rFonts w:hint="eastAsia" w:ascii="宋体" w:hAnsi="宋体" w:cs="宋体"/>
          <w:sz w:val="24"/>
        </w:rPr>
        <w:t xml:space="preserve">地址：  </w:t>
      </w:r>
    </w:p>
    <w:p>
      <w:pPr>
        <w:tabs>
          <w:tab w:val="left" w:pos="2895"/>
        </w:tabs>
        <w:spacing w:line="440" w:lineRule="exact"/>
        <w:ind w:firstLine="480" w:firstLineChars="200"/>
        <w:rPr>
          <w:rFonts w:ascii="宋体" w:hAnsi="宋体" w:cs="宋体"/>
          <w:sz w:val="24"/>
        </w:rPr>
      </w:pPr>
      <w:r>
        <w:rPr>
          <w:rFonts w:hint="eastAsia" w:ascii="宋体" w:hAnsi="宋体" w:cs="宋体"/>
          <w:sz w:val="24"/>
        </w:rPr>
        <w:t>电话：                                             传真：</w:t>
      </w:r>
    </w:p>
    <w:p>
      <w:pPr>
        <w:tabs>
          <w:tab w:val="left" w:pos="2895"/>
        </w:tabs>
        <w:spacing w:line="440" w:lineRule="exact"/>
        <w:ind w:firstLine="480" w:firstLineChars="200"/>
        <w:rPr>
          <w:rFonts w:ascii="宋体" w:hAnsi="宋体" w:cs="宋体"/>
          <w:sz w:val="24"/>
        </w:rPr>
      </w:pPr>
      <w:r>
        <w:rPr>
          <w:rFonts w:hint="eastAsia" w:ascii="宋体" w:hAnsi="宋体" w:cs="宋体"/>
          <w:sz w:val="24"/>
        </w:rPr>
        <w:t>网址：                                             邮编：</w:t>
      </w:r>
    </w:p>
    <w:p>
      <w:pPr>
        <w:tabs>
          <w:tab w:val="left" w:pos="2895"/>
        </w:tabs>
        <w:spacing w:line="440" w:lineRule="exact"/>
        <w:ind w:firstLine="480" w:firstLineChars="200"/>
        <w:rPr>
          <w:rFonts w:ascii="宋体" w:hAnsi="宋体" w:cs="宋体"/>
          <w:sz w:val="24"/>
        </w:rPr>
      </w:pPr>
      <w:r>
        <w:rPr>
          <w:rFonts w:hint="eastAsia" w:ascii="宋体" w:hAnsi="宋体" w:cs="宋体"/>
          <w:sz w:val="24"/>
        </w:rPr>
        <w:t>联系人：</w:t>
      </w:r>
    </w:p>
    <w:p>
      <w:pPr>
        <w:tabs>
          <w:tab w:val="left" w:pos="2895"/>
        </w:tabs>
        <w:spacing w:line="440" w:lineRule="exact"/>
        <w:ind w:firstLine="480" w:firstLineChars="200"/>
        <w:rPr>
          <w:rFonts w:ascii="宋体" w:hAnsi="宋体" w:cs="宋体"/>
          <w:sz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rPr>
        <w:t xml:space="preserve">                                                  年   月   日</w:t>
      </w:r>
    </w:p>
    <w:p>
      <w:pPr>
        <w:tabs>
          <w:tab w:val="left" w:pos="2895"/>
        </w:tabs>
        <w:spacing w:line="440" w:lineRule="exact"/>
        <w:rPr>
          <w:rFonts w:ascii="宋体" w:hAnsi="宋体" w:cs="宋体"/>
          <w:szCs w:val="28"/>
        </w:rPr>
      </w:pPr>
      <w:r>
        <w:rPr>
          <w:rFonts w:ascii="宋体" w:hAnsi="宋体" w:cs="宋体"/>
          <w:szCs w:val="28"/>
        </w:rPr>
        <w:t>（二）明细报价</w:t>
      </w:r>
      <w:bookmarkStart w:id="93" w:name="_GoBack"/>
      <w:bookmarkEnd w:id="93"/>
      <w:r>
        <w:rPr>
          <w:rFonts w:ascii="宋体" w:hAnsi="宋体" w:cs="宋体"/>
          <w:szCs w:val="28"/>
        </w:rPr>
        <w:t>表</w:t>
      </w:r>
    </w:p>
    <w:p>
      <w:pPr>
        <w:spacing w:line="440" w:lineRule="exact"/>
        <w:ind w:firstLine="480" w:firstLineChars="200"/>
        <w:jc w:val="center"/>
        <w:rPr>
          <w:rFonts w:hint="eastAsia" w:ascii="宋体" w:hAnsi="宋体" w:eastAsia="宋体" w:cs="宋体"/>
          <w:bCs/>
          <w:sz w:val="24"/>
          <w:szCs w:val="24"/>
          <w:lang w:eastAsia="zh-CN"/>
        </w:rPr>
      </w:pPr>
    </w:p>
    <w:p>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明细报价表请根据附件1相关内容填报。（</w:t>
      </w:r>
      <w:r>
        <w:rPr>
          <w:rFonts w:hint="eastAsia" w:asciiTheme="minorEastAsia" w:hAnsiTheme="minorEastAsia" w:eastAsiaTheme="minorEastAsia" w:cstheme="minorEastAsia"/>
          <w:color w:val="auto"/>
          <w:sz w:val="24"/>
          <w:szCs w:val="24"/>
        </w:rPr>
        <w:t>格式自定</w:t>
      </w:r>
      <w:r>
        <w:rPr>
          <w:rFonts w:hint="eastAsia" w:asciiTheme="minorEastAsia" w:hAnsiTheme="minorEastAsia" w:eastAsiaTheme="minorEastAsia" w:cstheme="minorEastAsia"/>
          <w:sz w:val="24"/>
          <w:szCs w:val="24"/>
          <w:lang w:val="en-US" w:eastAsia="zh-CN"/>
        </w:rPr>
        <w:t>）</w:t>
      </w:r>
    </w:p>
    <w:p>
      <w:pPr>
        <w:spacing w:line="440" w:lineRule="exact"/>
        <w:ind w:firstLine="480" w:firstLineChars="200"/>
        <w:rPr>
          <w:rFonts w:ascii="宋体" w:hAnsi="宋体" w:cs="宋体"/>
          <w:sz w:val="24"/>
        </w:rPr>
      </w:pPr>
    </w:p>
    <w:p>
      <w:pPr>
        <w:keepNext/>
        <w:keepLines/>
        <w:spacing w:line="440" w:lineRule="exact"/>
        <w:ind w:firstLine="482" w:firstLineChars="200"/>
        <w:rPr>
          <w:rFonts w:ascii="宋体" w:hAnsi="宋体" w:cs="宋体"/>
          <w:b/>
          <w:sz w:val="24"/>
        </w:rPr>
        <w:sectPr>
          <w:pgSz w:w="11907" w:h="16840"/>
          <w:pgMar w:top="1134" w:right="1191" w:bottom="1134" w:left="1304" w:header="851" w:footer="992" w:gutter="0"/>
          <w:pgNumType w:fmt="numberInDash"/>
          <w:cols w:space="720" w:num="1"/>
          <w:docGrid w:linePitch="380" w:charSpace="-5735"/>
        </w:sectPr>
      </w:pPr>
    </w:p>
    <w:p>
      <w:pPr>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b/>
          <w:szCs w:val="28"/>
        </w:rPr>
      </w:pPr>
      <w:bookmarkStart w:id="89" w:name="_Toc8566"/>
      <w:r>
        <w:rPr>
          <w:rFonts w:ascii="宋体" w:hAnsi="宋体" w:cs="宋体"/>
          <w:b/>
          <w:szCs w:val="28"/>
        </w:rPr>
        <w:t>二、</w:t>
      </w:r>
      <w:r>
        <w:rPr>
          <w:rFonts w:hint="eastAsia" w:ascii="宋体" w:hAnsi="宋体" w:cs="宋体"/>
          <w:b/>
          <w:szCs w:val="28"/>
        </w:rPr>
        <w:t>服务</w:t>
      </w:r>
      <w:r>
        <w:rPr>
          <w:rFonts w:ascii="宋体" w:hAnsi="宋体" w:cs="宋体"/>
          <w:b/>
          <w:szCs w:val="28"/>
        </w:rPr>
        <w:t>部分</w:t>
      </w:r>
      <w:bookmarkEnd w:id="89"/>
    </w:p>
    <w:p>
      <w:pPr>
        <w:keepNext/>
        <w:keepLines/>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（一）方案（格式自定）</w:t>
      </w:r>
    </w:p>
    <w:p>
      <w:pPr>
        <w:pStyle w:val="29"/>
        <w:spacing w:line="480" w:lineRule="auto"/>
        <w:ind w:left="0" w:leftChars="0" w:firstLine="480" w:firstLineChars="200"/>
        <w:rPr>
          <w:rFonts w:eastAsiaTheme="minorEastAsia"/>
          <w:lang w:eastAsia="zh-CN"/>
        </w:rPr>
      </w:pPr>
      <w:r>
        <w:rPr>
          <w:rFonts w:hint="eastAsia" w:ascii="宋体" w:hAnsi="宋体" w:eastAsia="宋体" w:cs="宋体"/>
          <w:sz w:val="24"/>
          <w:lang w:eastAsia="zh-CN"/>
        </w:rPr>
        <w:t>按照第四篇评审因素“技术部分”要求提供</w:t>
      </w:r>
    </w:p>
    <w:p>
      <w:pPr>
        <w:spacing w:line="480" w:lineRule="auto"/>
        <w:ind w:firstLine="480" w:firstLineChars="200"/>
        <w:rPr>
          <w:rFonts w:ascii="宋体" w:hAnsi="宋体" w:cs="宋体"/>
          <w:sz w:val="24"/>
        </w:rPr>
      </w:pPr>
    </w:p>
    <w:p>
      <w:pPr>
        <w:spacing w:line="440" w:lineRule="exact"/>
        <w:ind w:firstLine="560" w:firstLineChars="200"/>
        <w:rPr>
          <w:rFonts w:ascii="宋体" w:hAnsi="宋体" w:cs="宋体"/>
        </w:rPr>
      </w:pPr>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Pr>
        <w:rPr>
          <w:rFonts w:eastAsiaTheme="minorEastAsia"/>
          <w:lang w:eastAsia="zh-CN"/>
        </w:rPr>
      </w:pPr>
    </w:p>
    <w:p>
      <w:pPr>
        <w:pStyle w:val="4"/>
        <w:rPr>
          <w:rFonts w:eastAsiaTheme="minorEastAsia"/>
          <w:lang w:eastAsia="zh-CN"/>
        </w:rPr>
      </w:pPr>
    </w:p>
    <w:p>
      <w:pPr>
        <w:rPr>
          <w:rFonts w:eastAsiaTheme="minorEastAsia"/>
          <w:lang w:eastAsia="zh-CN"/>
        </w:rPr>
      </w:pPr>
    </w:p>
    <w:p>
      <w:pPr>
        <w:pStyle w:val="4"/>
        <w:rPr>
          <w:lang w:eastAsia="zh-CN"/>
        </w:rPr>
      </w:pPr>
    </w:p>
    <w:p/>
    <w:p>
      <w:pPr>
        <w:tabs>
          <w:tab w:val="left" w:pos="6300"/>
        </w:tabs>
        <w:spacing w:line="440" w:lineRule="exact"/>
        <w:ind w:firstLine="560" w:firstLineChars="200"/>
        <w:rPr>
          <w:rFonts w:ascii="宋体" w:hAnsi="宋体" w:cs="宋体"/>
          <w:szCs w:val="28"/>
        </w:rPr>
      </w:pPr>
      <w:r>
        <w:rPr>
          <w:rFonts w:ascii="宋体" w:hAnsi="宋体" w:cs="宋体"/>
          <w:szCs w:val="28"/>
        </w:rPr>
        <w:t>（二）服务响应偏离表</w:t>
      </w:r>
    </w:p>
    <w:p>
      <w:pPr>
        <w:spacing w:line="440" w:lineRule="exact"/>
        <w:ind w:firstLine="480" w:firstLineChars="200"/>
        <w:rPr>
          <w:rFonts w:ascii="宋体" w:hAnsi="宋体" w:cs="宋体"/>
          <w:sz w:val="24"/>
        </w:rPr>
      </w:pPr>
      <w:r>
        <w:rPr>
          <w:rFonts w:ascii="宋体" w:hAnsi="宋体" w:cs="宋体"/>
          <w:sz w:val="24"/>
        </w:rPr>
        <w:t>项目号：</w:t>
      </w:r>
      <w:r>
        <w:rPr>
          <w:rFonts w:hint="eastAsia" w:ascii="宋体" w:hAnsi="宋体" w:cs="宋体"/>
          <w:sz w:val="24"/>
        </w:rPr>
        <w:t xml:space="preserve">                                      </w:t>
      </w:r>
    </w:p>
    <w:p>
      <w:pPr>
        <w:tabs>
          <w:tab w:val="left" w:pos="6300"/>
        </w:tabs>
        <w:spacing w:line="440" w:lineRule="exact"/>
        <w:ind w:firstLine="480" w:firstLineChars="200"/>
        <w:rPr>
          <w:rFonts w:ascii="宋体" w:hAnsi="宋体" w:cs="宋体"/>
          <w:sz w:val="24"/>
        </w:rPr>
      </w:pPr>
      <w:r>
        <w:rPr>
          <w:rFonts w:ascii="宋体" w:hAnsi="宋体" w:cs="宋体"/>
          <w:sz w:val="24"/>
        </w:rPr>
        <w:t>磋商项目名称：</w:t>
      </w:r>
    </w:p>
    <w:tbl>
      <w:tblPr>
        <w:tblStyle w:val="60"/>
        <w:tblW w:w="8798" w:type="dxa"/>
        <w:jc w:val="center"/>
        <w:tblInd w:w="0" w:type="dxa"/>
        <w:tblLayout w:type="fixed"/>
        <w:tblCellMar>
          <w:top w:w="0" w:type="dxa"/>
          <w:left w:w="10" w:type="dxa"/>
          <w:bottom w:w="0" w:type="dxa"/>
          <w:right w:w="10" w:type="dxa"/>
        </w:tblCellMar>
      </w:tblPr>
      <w:tblGrid>
        <w:gridCol w:w="1104"/>
        <w:gridCol w:w="3158"/>
        <w:gridCol w:w="2519"/>
        <w:gridCol w:w="2017"/>
      </w:tblGrid>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jc w:val="center"/>
              <w:rPr>
                <w:rFonts w:ascii="宋体" w:hAnsi="宋体" w:cs="宋体"/>
                <w:sz w:val="24"/>
                <w:szCs w:val="24"/>
              </w:rPr>
            </w:pPr>
            <w:r>
              <w:rPr>
                <w:rFonts w:ascii="宋体" w:hAnsi="宋体" w:cs="宋体"/>
                <w:sz w:val="24"/>
                <w:szCs w:val="24"/>
              </w:rPr>
              <w:t>序号</w:t>
            </w: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jc w:val="center"/>
              <w:rPr>
                <w:rFonts w:ascii="宋体" w:hAnsi="宋体" w:cs="宋体"/>
                <w:sz w:val="24"/>
                <w:szCs w:val="24"/>
              </w:rPr>
            </w:pPr>
            <w:r>
              <w:rPr>
                <w:rFonts w:ascii="宋体" w:hAnsi="宋体" w:cs="宋体"/>
                <w:sz w:val="24"/>
                <w:szCs w:val="24"/>
              </w:rPr>
              <w:t>采购需求</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jc w:val="center"/>
              <w:rPr>
                <w:rFonts w:ascii="宋体" w:hAnsi="宋体" w:cs="宋体"/>
                <w:sz w:val="24"/>
                <w:szCs w:val="24"/>
              </w:rPr>
            </w:pPr>
            <w:r>
              <w:rPr>
                <w:rFonts w:ascii="宋体" w:hAnsi="宋体" w:cs="宋体"/>
                <w:sz w:val="24"/>
                <w:szCs w:val="24"/>
              </w:rPr>
              <w:t>响应情况</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jc w:val="center"/>
              <w:rPr>
                <w:rFonts w:ascii="宋体" w:hAnsi="宋体" w:cs="宋体"/>
                <w:sz w:val="24"/>
                <w:szCs w:val="24"/>
              </w:rPr>
            </w:pPr>
            <w:r>
              <w:rPr>
                <w:rFonts w:ascii="宋体" w:hAnsi="宋体" w:cs="宋体"/>
                <w:sz w:val="24"/>
                <w:szCs w:val="24"/>
              </w:rPr>
              <w:t>差异说明</w:t>
            </w: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r>
        <w:tblPrEx>
          <w:tblLayout w:type="fixed"/>
          <w:tblCellMar>
            <w:top w:w="0" w:type="dxa"/>
            <w:left w:w="10" w:type="dxa"/>
            <w:bottom w:w="0" w:type="dxa"/>
            <w:right w:w="10" w:type="dxa"/>
          </w:tblCellMar>
        </w:tblPrEx>
        <w:trPr>
          <w:trHeight w:val="397" w:hRule="exact"/>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80" w:firstLineChars="200"/>
              <w:jc w:val="center"/>
              <w:rPr>
                <w:rFonts w:ascii="宋体" w:hAnsi="宋体" w:cs="宋体"/>
                <w:sz w:val="24"/>
                <w:szCs w:val="24"/>
              </w:rPr>
            </w:pPr>
          </w:p>
        </w:tc>
      </w:tr>
    </w:tbl>
    <w:p>
      <w:pPr>
        <w:spacing w:line="440" w:lineRule="exact"/>
        <w:ind w:firstLine="480" w:firstLineChars="200"/>
        <w:rPr>
          <w:rFonts w:ascii="宋体" w:hAnsi="宋体" w:cs="宋体"/>
          <w:sz w:val="24"/>
        </w:rPr>
      </w:pPr>
    </w:p>
    <w:p>
      <w:pPr>
        <w:tabs>
          <w:tab w:val="left" w:pos="6300"/>
        </w:tabs>
        <w:spacing w:line="440" w:lineRule="exact"/>
        <w:ind w:firstLine="480" w:firstLineChars="200"/>
        <w:jc w:val="right"/>
        <w:rPr>
          <w:rFonts w:ascii="宋体" w:hAnsi="宋体" w:cs="宋体"/>
          <w:sz w:val="24"/>
        </w:rPr>
      </w:pPr>
      <w:r>
        <w:rPr>
          <w:rFonts w:hint="eastAsia" w:ascii="宋体" w:hAnsi="宋体" w:cs="宋体"/>
          <w:sz w:val="24"/>
        </w:rPr>
        <w:t>供应商：                            法定代表人（或其授权代表）或自然人：</w:t>
      </w:r>
    </w:p>
    <w:p>
      <w:pPr>
        <w:tabs>
          <w:tab w:val="left" w:pos="6300"/>
        </w:tabs>
        <w:spacing w:line="440" w:lineRule="exact"/>
        <w:ind w:firstLine="480" w:firstLineChars="200"/>
        <w:jc w:val="right"/>
        <w:rPr>
          <w:rFonts w:ascii="宋体" w:hAnsi="宋体" w:cs="宋体"/>
          <w:sz w:val="24"/>
        </w:rPr>
      </w:pPr>
      <w:r>
        <w:rPr>
          <w:rFonts w:hint="eastAsia" w:ascii="宋体" w:hAnsi="宋体" w:cs="宋体"/>
          <w:sz w:val="24"/>
        </w:rPr>
        <w:t xml:space="preserve">    </w:t>
      </w:r>
    </w:p>
    <w:p>
      <w:pPr>
        <w:tabs>
          <w:tab w:val="left" w:pos="6300"/>
        </w:tabs>
        <w:spacing w:line="440" w:lineRule="exact"/>
        <w:ind w:firstLine="960" w:firstLineChars="400"/>
        <w:rPr>
          <w:rFonts w:ascii="宋体" w:hAnsi="宋体" w:cs="宋体"/>
          <w:sz w:val="24"/>
        </w:rPr>
      </w:pPr>
      <w:r>
        <w:rPr>
          <w:rFonts w:hint="eastAsia" w:ascii="宋体" w:hAnsi="宋体" w:cs="宋体"/>
          <w:sz w:val="24"/>
        </w:rPr>
        <w:t>（供应商公章）                               （签署或盖章）</w:t>
      </w:r>
    </w:p>
    <w:p>
      <w:pPr>
        <w:tabs>
          <w:tab w:val="left" w:pos="6300"/>
        </w:tabs>
        <w:spacing w:line="440" w:lineRule="exact"/>
        <w:ind w:firstLine="480" w:firstLineChars="200"/>
        <w:jc w:val="right"/>
        <w:rPr>
          <w:rFonts w:ascii="宋体" w:hAnsi="宋体" w:cs="宋体"/>
          <w:sz w:val="24"/>
        </w:rPr>
      </w:pPr>
      <w:r>
        <w:rPr>
          <w:rFonts w:ascii="宋体" w:hAnsi="宋体" w:cs="宋体"/>
          <w:sz w:val="24"/>
        </w:rPr>
        <w:t>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tabs>
          <w:tab w:val="left" w:pos="6300"/>
        </w:tabs>
        <w:spacing w:line="440" w:lineRule="exact"/>
        <w:ind w:firstLine="480" w:firstLineChars="200"/>
        <w:rPr>
          <w:rFonts w:ascii="宋体" w:hAnsi="宋体" w:cs="宋体"/>
          <w:sz w:val="24"/>
        </w:rPr>
      </w:pPr>
      <w:r>
        <w:rPr>
          <w:rFonts w:ascii="宋体" w:hAnsi="宋体" w:cs="宋体"/>
          <w:sz w:val="24"/>
        </w:rPr>
        <w:t>注：</w:t>
      </w:r>
    </w:p>
    <w:p>
      <w:pPr>
        <w:tabs>
          <w:tab w:val="left" w:pos="6300"/>
        </w:tabs>
        <w:spacing w:line="440" w:lineRule="exact"/>
        <w:ind w:firstLine="480" w:firstLineChars="200"/>
        <w:rPr>
          <w:rFonts w:ascii="宋体" w:hAnsi="宋体" w:cs="宋体"/>
          <w:sz w:val="24"/>
        </w:rPr>
      </w:pPr>
      <w:r>
        <w:rPr>
          <w:rFonts w:ascii="宋体" w:hAnsi="宋体" w:cs="宋体"/>
          <w:sz w:val="24"/>
        </w:rPr>
        <w:t>1.本表即为对本项目“第二篇项目服务需求”中所列服务要求进行比较和响应；</w:t>
      </w:r>
    </w:p>
    <w:p>
      <w:pPr>
        <w:tabs>
          <w:tab w:val="left" w:pos="6300"/>
        </w:tabs>
        <w:spacing w:line="440" w:lineRule="exact"/>
        <w:ind w:firstLine="480" w:firstLineChars="200"/>
        <w:rPr>
          <w:rFonts w:ascii="宋体" w:hAnsi="宋体" w:cs="宋体"/>
          <w:sz w:val="24"/>
        </w:rPr>
      </w:pPr>
      <w:r>
        <w:rPr>
          <w:rFonts w:ascii="宋体" w:hAnsi="宋体" w:cs="宋体"/>
          <w:sz w:val="24"/>
        </w:rPr>
        <w:t>2.该表必须按照竞争性磋商要求逐条如实填写，</w:t>
      </w:r>
      <w:r>
        <w:rPr>
          <w:rFonts w:hint="eastAsia" w:ascii="宋体" w:hAnsi="宋体" w:cs="宋体"/>
          <w:sz w:val="24"/>
        </w:rPr>
        <w:t>“响应情况”中必须列出具体数值或内容。如供应商未应答或只注明“符合”、“满足”等类似无具体数值或内容的表述，视为不满足对应条款。</w:t>
      </w:r>
      <w:r>
        <w:rPr>
          <w:rFonts w:ascii="宋体" w:hAnsi="宋体" w:cs="宋体"/>
          <w:sz w:val="24"/>
        </w:rPr>
        <w:t>根据响应情况在“差异说明”项填写正偏离或负偏离及原因，完全符合的填写“无差异”；</w:t>
      </w:r>
    </w:p>
    <w:p>
      <w:pPr>
        <w:tabs>
          <w:tab w:val="left" w:pos="6300"/>
        </w:tabs>
        <w:spacing w:line="440" w:lineRule="exact"/>
        <w:ind w:firstLine="480" w:firstLineChars="200"/>
        <w:rPr>
          <w:rFonts w:ascii="宋体" w:hAnsi="宋体" w:cs="宋体"/>
          <w:sz w:val="24"/>
        </w:rPr>
      </w:pPr>
      <w:r>
        <w:rPr>
          <w:rFonts w:ascii="宋体" w:hAnsi="宋体" w:cs="宋体"/>
          <w:sz w:val="24"/>
        </w:rPr>
        <w:t>3.该表可扩展；</w:t>
      </w:r>
    </w:p>
    <w:p>
      <w:pPr>
        <w:tabs>
          <w:tab w:val="left" w:pos="6300"/>
        </w:tabs>
        <w:spacing w:line="440" w:lineRule="exact"/>
        <w:ind w:firstLine="480" w:firstLineChars="200"/>
        <w:rPr>
          <w:rFonts w:ascii="宋体" w:hAnsi="宋体" w:cs="宋体"/>
          <w:sz w:val="24"/>
        </w:rPr>
      </w:pPr>
      <w:r>
        <w:rPr>
          <w:rFonts w:ascii="宋体" w:hAnsi="宋体" w:cs="宋体"/>
          <w:sz w:val="24"/>
        </w:rPr>
        <w:t>4.可附相关支撑材料。（格式自定）</w:t>
      </w:r>
    </w:p>
    <w:p>
      <w:pPr>
        <w:tabs>
          <w:tab w:val="left" w:pos="6300"/>
        </w:tabs>
        <w:spacing w:line="440" w:lineRule="exact"/>
        <w:ind w:firstLine="482" w:firstLineChars="200"/>
        <w:rPr>
          <w:rFonts w:ascii="宋体" w:hAnsi="宋体" w:cs="宋体"/>
          <w:b/>
          <w:sz w:val="24"/>
        </w:rPr>
      </w:pPr>
      <w:r>
        <w:rPr>
          <w:rFonts w:ascii="宋体" w:hAnsi="宋体" w:cs="宋体"/>
          <w:b/>
          <w:sz w:val="24"/>
        </w:rPr>
        <w:t>5.若“响应情况”栏中仅填写“无偏离”或“有偏离”等内容而未作实质性参数描述，该供应商将失去成为成交供应商的资格，仅保留其合格供应商的身份。</w:t>
      </w:r>
    </w:p>
    <w:p>
      <w:pPr>
        <w:pStyle w:val="29"/>
        <w:ind w:left="1680"/>
        <w:rPr>
          <w:rFonts w:eastAsiaTheme="minorEastAsia"/>
          <w:lang w:eastAsia="zh-CN"/>
        </w:rPr>
      </w:pPr>
    </w:p>
    <w:p/>
    <w:p>
      <w:pPr>
        <w:pStyle w:val="29"/>
        <w:ind w:left="1680"/>
        <w:rPr>
          <w:rFonts w:eastAsiaTheme="minorEastAsia"/>
          <w:lang w:eastAsia="zh-CN"/>
        </w:rPr>
      </w:pPr>
    </w:p>
    <w:p/>
    <w:p>
      <w:pPr>
        <w:pStyle w:val="29"/>
        <w:ind w:left="0" w:leftChars="0"/>
        <w:rPr>
          <w:rFonts w:eastAsiaTheme="minorEastAsia"/>
          <w:lang w:eastAsia="zh-CN"/>
        </w:rPr>
      </w:pPr>
    </w:p>
    <w:p>
      <w:pPr>
        <w:keepNext/>
        <w:keepLines/>
        <w:spacing w:line="440" w:lineRule="exact"/>
        <w:rPr>
          <w:rFonts w:ascii="宋体" w:hAnsi="宋体" w:cs="宋体"/>
          <w:b/>
          <w:szCs w:val="28"/>
        </w:rPr>
      </w:pPr>
      <w:bookmarkStart w:id="90" w:name="_Toc14261"/>
      <w:r>
        <w:rPr>
          <w:rFonts w:ascii="宋体" w:hAnsi="宋体" w:cs="宋体"/>
          <w:b/>
          <w:szCs w:val="28"/>
        </w:rPr>
        <w:t>三、商务部分</w:t>
      </w:r>
      <w:bookmarkEnd w:id="90"/>
    </w:p>
    <w:p>
      <w:pPr>
        <w:spacing w:line="440" w:lineRule="exact"/>
        <w:rPr>
          <w:rFonts w:ascii="宋体" w:hAnsi="宋体" w:cs="宋体"/>
          <w:b/>
        </w:rPr>
      </w:pPr>
      <w:r>
        <w:rPr>
          <w:rFonts w:ascii="宋体" w:hAnsi="宋体" w:cs="宋体"/>
          <w:szCs w:val="28"/>
        </w:rPr>
        <w:t>（一）商务要求响应情况：（格式自定）</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bidi w:val="0"/>
      </w:pPr>
    </w:p>
    <w:p>
      <w:pPr>
        <w:pStyle w:val="2"/>
      </w:pPr>
    </w:p>
    <w:p>
      <w:pPr>
        <w:bidi w:val="0"/>
      </w:pPr>
    </w:p>
    <w:p>
      <w:pPr>
        <w:spacing w:line="440" w:lineRule="exact"/>
        <w:rPr>
          <w:rFonts w:ascii="宋体" w:hAnsi="宋体" w:cs="宋体"/>
          <w:szCs w:val="28"/>
        </w:rPr>
      </w:pPr>
      <w:r>
        <w:rPr>
          <w:rFonts w:ascii="宋体" w:hAnsi="宋体" w:cs="宋体"/>
          <w:szCs w:val="28"/>
        </w:rPr>
        <w:t>（二）商务响应偏离表</w:t>
      </w:r>
    </w:p>
    <w:p>
      <w:pPr>
        <w:spacing w:line="440" w:lineRule="exact"/>
        <w:jc w:val="center"/>
        <w:rPr>
          <w:rFonts w:ascii="宋体" w:hAnsi="宋体" w:cs="宋体"/>
          <w:b/>
          <w:sz w:val="24"/>
          <w:szCs w:val="24"/>
        </w:rPr>
      </w:pPr>
      <w:r>
        <w:rPr>
          <w:rFonts w:ascii="宋体" w:hAnsi="宋体" w:cs="宋体"/>
          <w:bCs/>
          <w:sz w:val="24"/>
          <w:szCs w:val="24"/>
        </w:rPr>
        <w:t>商务响应偏离表</w:t>
      </w:r>
    </w:p>
    <w:p>
      <w:pPr>
        <w:spacing w:line="440" w:lineRule="exact"/>
        <w:ind w:firstLine="480" w:firstLineChars="200"/>
        <w:rPr>
          <w:rFonts w:ascii="宋体" w:hAnsi="宋体" w:cs="宋体"/>
          <w:sz w:val="24"/>
        </w:rPr>
      </w:pPr>
      <w:r>
        <w:rPr>
          <w:rFonts w:ascii="宋体" w:hAnsi="宋体" w:cs="宋体"/>
          <w:sz w:val="24"/>
        </w:rPr>
        <w:t>项目号：</w:t>
      </w:r>
      <w:r>
        <w:rPr>
          <w:rFonts w:hint="eastAsia" w:ascii="宋体" w:hAnsi="宋体" w:cs="宋体"/>
          <w:sz w:val="24"/>
        </w:rPr>
        <w:t xml:space="preserve">                                               </w:t>
      </w:r>
    </w:p>
    <w:p>
      <w:pPr>
        <w:spacing w:line="440" w:lineRule="exact"/>
        <w:ind w:firstLine="480" w:firstLineChars="200"/>
        <w:rPr>
          <w:rFonts w:ascii="宋体" w:hAnsi="宋体" w:cs="宋体"/>
          <w:sz w:val="24"/>
        </w:rPr>
      </w:pPr>
      <w:r>
        <w:rPr>
          <w:rFonts w:ascii="宋体" w:hAnsi="宋体" w:cs="宋体"/>
          <w:sz w:val="24"/>
        </w:rPr>
        <w:t>磋商项目名称：</w:t>
      </w:r>
    </w:p>
    <w:tbl>
      <w:tblPr>
        <w:tblStyle w:val="60"/>
        <w:tblW w:w="9356" w:type="dxa"/>
        <w:tblInd w:w="108" w:type="dxa"/>
        <w:tblLayout w:type="fixed"/>
        <w:tblCellMar>
          <w:top w:w="0" w:type="dxa"/>
          <w:left w:w="10" w:type="dxa"/>
          <w:bottom w:w="0" w:type="dxa"/>
          <w:right w:w="10" w:type="dxa"/>
        </w:tblCellMar>
      </w:tblPr>
      <w:tblGrid>
        <w:gridCol w:w="1400"/>
        <w:gridCol w:w="3562"/>
        <w:gridCol w:w="2551"/>
        <w:gridCol w:w="1843"/>
      </w:tblGrid>
      <w:tr>
        <w:tblPrEx>
          <w:tblLayout w:type="fixed"/>
          <w:tblCellMar>
            <w:top w:w="0" w:type="dxa"/>
            <w:left w:w="10" w:type="dxa"/>
            <w:bottom w:w="0" w:type="dxa"/>
            <w:right w:w="10" w:type="dxa"/>
          </w:tblCellMar>
        </w:tblPrEx>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exact"/>
              <w:ind w:firstLine="420" w:firstLineChars="200"/>
              <w:rPr>
                <w:rFonts w:ascii="宋体" w:hAnsi="宋体" w:cs="宋体"/>
                <w:sz w:val="21"/>
                <w:szCs w:val="21"/>
              </w:rPr>
            </w:pPr>
            <w:r>
              <w:rPr>
                <w:rFonts w:ascii="宋体" w:hAnsi="宋体" w:cs="宋体"/>
                <w:sz w:val="21"/>
                <w:szCs w:val="21"/>
              </w:rPr>
              <w:t>序号</w:t>
            </w: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20" w:firstLineChars="200"/>
              <w:jc w:val="center"/>
              <w:rPr>
                <w:rFonts w:ascii="宋体" w:hAnsi="宋体" w:cs="宋体"/>
                <w:sz w:val="21"/>
                <w:szCs w:val="21"/>
              </w:rPr>
            </w:pPr>
            <w:r>
              <w:rPr>
                <w:rFonts w:ascii="宋体" w:hAnsi="宋体" w:cs="宋体"/>
                <w:sz w:val="21"/>
                <w:szCs w:val="21"/>
              </w:rPr>
              <w:t>磋商项目商务需求</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20" w:firstLineChars="200"/>
              <w:jc w:val="center"/>
              <w:rPr>
                <w:rFonts w:ascii="宋体" w:hAnsi="宋体" w:cs="宋体"/>
                <w:sz w:val="21"/>
                <w:szCs w:val="21"/>
              </w:rPr>
            </w:pPr>
            <w:r>
              <w:rPr>
                <w:rFonts w:ascii="宋体" w:hAnsi="宋体" w:cs="宋体"/>
                <w:sz w:val="21"/>
                <w:szCs w:val="21"/>
              </w:rPr>
              <w:t>响应情况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jc w:val="center"/>
              <w:rPr>
                <w:rFonts w:ascii="宋体" w:hAnsi="宋体" w:cs="宋体"/>
                <w:sz w:val="21"/>
                <w:szCs w:val="21"/>
              </w:rPr>
            </w:pPr>
            <w:r>
              <w:rPr>
                <w:rFonts w:ascii="宋体" w:hAnsi="宋体" w:cs="宋体"/>
                <w:sz w:val="21"/>
                <w:szCs w:val="21"/>
              </w:rPr>
              <w:t>偏离说明</w:t>
            </w:r>
          </w:p>
        </w:tc>
      </w:tr>
      <w:tr>
        <w:tblPrEx>
          <w:tblLayout w:type="fixed"/>
          <w:tblCellMar>
            <w:top w:w="0" w:type="dxa"/>
            <w:left w:w="10" w:type="dxa"/>
            <w:bottom w:w="0" w:type="dxa"/>
            <w:right w:w="10" w:type="dxa"/>
          </w:tblCellMar>
        </w:tblPrEx>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r>
      <w:tr>
        <w:tblPrEx>
          <w:tblLayout w:type="fixed"/>
          <w:tblCellMar>
            <w:top w:w="0" w:type="dxa"/>
            <w:left w:w="10" w:type="dxa"/>
            <w:bottom w:w="0" w:type="dxa"/>
            <w:right w:w="10" w:type="dxa"/>
          </w:tblCellMar>
        </w:tblPrEx>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r>
      <w:tr>
        <w:tblPrEx>
          <w:tblLayout w:type="fixed"/>
          <w:tblCellMar>
            <w:top w:w="0" w:type="dxa"/>
            <w:left w:w="10" w:type="dxa"/>
            <w:bottom w:w="0" w:type="dxa"/>
            <w:right w:w="10" w:type="dxa"/>
          </w:tblCellMar>
        </w:tblPrEx>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r>
      <w:tr>
        <w:tblPrEx>
          <w:tblLayout w:type="fixed"/>
          <w:tblCellMar>
            <w:top w:w="0" w:type="dxa"/>
            <w:left w:w="10" w:type="dxa"/>
            <w:bottom w:w="0" w:type="dxa"/>
            <w:right w:w="10" w:type="dxa"/>
          </w:tblCellMar>
        </w:tblPrEx>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r>
      <w:tr>
        <w:tblPrEx>
          <w:tblLayout w:type="fixed"/>
          <w:tblCellMar>
            <w:top w:w="0" w:type="dxa"/>
            <w:left w:w="10" w:type="dxa"/>
            <w:bottom w:w="0" w:type="dxa"/>
            <w:right w:w="10" w:type="dxa"/>
          </w:tblCellMar>
        </w:tblPrEx>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r>
      <w:tr>
        <w:tblPrEx>
          <w:tblLayout w:type="fixed"/>
          <w:tblCellMar>
            <w:top w:w="0" w:type="dxa"/>
            <w:left w:w="10" w:type="dxa"/>
            <w:bottom w:w="0" w:type="dxa"/>
            <w:right w:w="10" w:type="dxa"/>
          </w:tblCellMar>
        </w:tblPrEx>
        <w:tc>
          <w:tcPr>
            <w:tcW w:w="14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300"/>
              </w:tabs>
              <w:spacing w:line="440" w:lineRule="exact"/>
              <w:ind w:firstLine="440" w:firstLineChars="200"/>
              <w:jc w:val="center"/>
              <w:rPr>
                <w:rFonts w:ascii="宋体" w:hAnsi="宋体" w:cs="宋体"/>
                <w:sz w:val="22"/>
              </w:rPr>
            </w:pPr>
          </w:p>
        </w:tc>
      </w:tr>
    </w:tbl>
    <w:p>
      <w:pPr>
        <w:spacing w:line="440" w:lineRule="exact"/>
        <w:ind w:firstLine="480" w:firstLineChars="200"/>
        <w:rPr>
          <w:rFonts w:ascii="宋体" w:hAnsi="宋体" w:cs="宋体"/>
          <w:sz w:val="24"/>
        </w:rPr>
      </w:pPr>
    </w:p>
    <w:p>
      <w:pPr>
        <w:tabs>
          <w:tab w:val="left" w:pos="6300"/>
        </w:tabs>
        <w:spacing w:line="440" w:lineRule="exact"/>
        <w:ind w:firstLine="480" w:firstLineChars="200"/>
        <w:jc w:val="right"/>
        <w:rPr>
          <w:rFonts w:ascii="宋体" w:hAnsi="宋体" w:cs="宋体"/>
          <w:sz w:val="24"/>
        </w:rPr>
      </w:pPr>
      <w:r>
        <w:rPr>
          <w:rFonts w:hint="eastAsia" w:ascii="宋体" w:hAnsi="宋体" w:cs="宋体"/>
          <w:sz w:val="24"/>
        </w:rPr>
        <w:t>供应商：                          法定代表人（或其授权代表）或自然人：</w:t>
      </w:r>
    </w:p>
    <w:p>
      <w:pPr>
        <w:tabs>
          <w:tab w:val="left" w:pos="6300"/>
        </w:tabs>
        <w:spacing w:line="440" w:lineRule="exact"/>
        <w:ind w:firstLine="480" w:firstLineChars="200"/>
        <w:jc w:val="right"/>
        <w:rPr>
          <w:rFonts w:ascii="宋体" w:hAnsi="宋体" w:cs="宋体"/>
          <w:sz w:val="24"/>
        </w:rPr>
      </w:pPr>
      <w:r>
        <w:rPr>
          <w:rFonts w:hint="eastAsia" w:ascii="宋体" w:hAnsi="宋体" w:cs="宋体"/>
          <w:sz w:val="24"/>
        </w:rPr>
        <w:t xml:space="preserve">    </w:t>
      </w:r>
    </w:p>
    <w:p>
      <w:pPr>
        <w:tabs>
          <w:tab w:val="left" w:pos="6300"/>
        </w:tabs>
        <w:spacing w:line="440" w:lineRule="exact"/>
        <w:ind w:firstLine="480" w:firstLineChars="200"/>
        <w:rPr>
          <w:rFonts w:ascii="宋体" w:hAnsi="宋体" w:cs="宋体"/>
          <w:sz w:val="24"/>
        </w:rPr>
      </w:pPr>
      <w:r>
        <w:rPr>
          <w:rFonts w:hint="eastAsia" w:ascii="宋体" w:hAnsi="宋体" w:cs="宋体"/>
          <w:sz w:val="24"/>
        </w:rPr>
        <w:t>（供应商公章）                                 （签署或盖章）</w:t>
      </w:r>
    </w:p>
    <w:p>
      <w:pPr>
        <w:tabs>
          <w:tab w:val="left" w:pos="6300"/>
        </w:tabs>
        <w:spacing w:line="440" w:lineRule="exact"/>
        <w:ind w:firstLine="480" w:firstLineChars="200"/>
        <w:jc w:val="right"/>
        <w:rPr>
          <w:rFonts w:ascii="宋体" w:hAnsi="宋体" w:cs="宋体"/>
          <w:sz w:val="24"/>
        </w:rPr>
      </w:pPr>
      <w:r>
        <w:rPr>
          <w:rFonts w:ascii="宋体" w:hAnsi="宋体" w:cs="宋体"/>
          <w:sz w:val="24"/>
        </w:rPr>
        <w:t>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tabs>
          <w:tab w:val="left" w:pos="6300"/>
        </w:tabs>
        <w:spacing w:line="440" w:lineRule="exact"/>
        <w:ind w:firstLine="480" w:firstLineChars="200"/>
        <w:rPr>
          <w:rFonts w:ascii="宋体" w:hAnsi="宋体" w:cs="宋体"/>
          <w:sz w:val="24"/>
        </w:rPr>
      </w:pPr>
      <w:r>
        <w:rPr>
          <w:rFonts w:ascii="宋体" w:hAnsi="宋体" w:cs="宋体"/>
          <w:sz w:val="24"/>
        </w:rPr>
        <w:t>注：</w:t>
      </w:r>
    </w:p>
    <w:p>
      <w:pPr>
        <w:tabs>
          <w:tab w:val="left" w:pos="6300"/>
        </w:tabs>
        <w:spacing w:line="440" w:lineRule="exact"/>
        <w:ind w:firstLine="480" w:firstLineChars="200"/>
        <w:rPr>
          <w:rFonts w:ascii="宋体" w:hAnsi="宋体" w:cs="宋体"/>
          <w:sz w:val="24"/>
        </w:rPr>
      </w:pPr>
      <w:r>
        <w:rPr>
          <w:rFonts w:ascii="宋体" w:hAnsi="宋体" w:cs="宋体"/>
          <w:sz w:val="24"/>
        </w:rPr>
        <w:t>1.本表即为对本项目“第三篇项目商务需求”中所列服务要求进行比较和响应；</w:t>
      </w:r>
    </w:p>
    <w:p>
      <w:pPr>
        <w:tabs>
          <w:tab w:val="left" w:pos="6300"/>
        </w:tabs>
        <w:spacing w:line="440" w:lineRule="exact"/>
        <w:ind w:firstLine="480" w:firstLineChars="200"/>
        <w:rPr>
          <w:rFonts w:ascii="宋体" w:hAnsi="宋体" w:cs="宋体"/>
          <w:sz w:val="24"/>
        </w:rPr>
      </w:pPr>
      <w:r>
        <w:rPr>
          <w:rFonts w:ascii="宋体" w:hAnsi="宋体" w:cs="宋体"/>
          <w:sz w:val="24"/>
        </w:rPr>
        <w:t>2.该表必须按照竞争性磋商要求逐条如实填写，</w:t>
      </w:r>
      <w:r>
        <w:rPr>
          <w:rFonts w:hint="eastAsia" w:ascii="宋体" w:hAnsi="宋体" w:cs="宋体"/>
          <w:sz w:val="24"/>
        </w:rPr>
        <w:t>“响应情况”中必须列出具体数值或内容。如供应商未应答或只注明“符合”、“满足”等类似无具体数值或内容的表述，视为不满足对应条款。</w:t>
      </w:r>
      <w:r>
        <w:rPr>
          <w:rFonts w:ascii="宋体" w:hAnsi="宋体" w:cs="宋体"/>
          <w:sz w:val="24"/>
        </w:rPr>
        <w:t>根据响应情况在“差异说明”项填写正偏离或负偏离及原因，完全符合的填写“无差异”；</w:t>
      </w:r>
    </w:p>
    <w:p>
      <w:pPr>
        <w:tabs>
          <w:tab w:val="left" w:pos="6300"/>
        </w:tabs>
        <w:spacing w:line="440" w:lineRule="exact"/>
        <w:ind w:firstLine="480" w:firstLineChars="200"/>
        <w:rPr>
          <w:rFonts w:ascii="宋体" w:hAnsi="宋体" w:cs="宋体"/>
          <w:sz w:val="24"/>
        </w:rPr>
      </w:pPr>
      <w:r>
        <w:rPr>
          <w:rFonts w:ascii="宋体" w:hAnsi="宋体" w:cs="宋体"/>
          <w:sz w:val="24"/>
        </w:rPr>
        <w:t>3.该表可扩展。</w:t>
      </w:r>
    </w:p>
    <w:p>
      <w:pPr>
        <w:pStyle w:val="29"/>
        <w:spacing w:line="440" w:lineRule="exact"/>
        <w:ind w:left="1680" w:firstLine="560" w:firstLineChars="20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tabs>
          <w:tab w:val="left" w:pos="6300"/>
        </w:tabs>
        <w:spacing w:line="440" w:lineRule="exact"/>
        <w:rPr>
          <w:rFonts w:ascii="宋体" w:hAnsi="宋体" w:cs="宋体"/>
          <w:szCs w:val="28"/>
        </w:rPr>
      </w:pPr>
      <w:r>
        <w:rPr>
          <w:rFonts w:ascii="宋体" w:hAnsi="宋体" w:cs="宋体"/>
          <w:szCs w:val="28"/>
        </w:rPr>
        <w:t>（三）其它承诺（格式自定）</w:t>
      </w:r>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Pr>
        <w:bidi w:val="0"/>
      </w:pPr>
    </w:p>
    <w:p>
      <w:pPr>
        <w:bidi w:val="0"/>
        <w:rPr>
          <w:lang w:eastAsia="zh-CN"/>
        </w:rPr>
      </w:pPr>
    </w:p>
    <w:p>
      <w:pPr>
        <w:bidi w:val="0"/>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pPr>
    </w:p>
    <w:p>
      <w:pPr>
        <w:bidi w:val="0"/>
        <w:rPr>
          <w:lang w:eastAsia="zh-CN"/>
        </w:rPr>
      </w:pPr>
    </w:p>
    <w:p>
      <w:pPr>
        <w:bidi w:val="0"/>
      </w:pPr>
    </w:p>
    <w:p>
      <w:pPr>
        <w:bidi w:val="0"/>
        <w:rPr>
          <w:lang w:eastAsia="zh-CN"/>
        </w:rPr>
      </w:pPr>
    </w:p>
    <w:p/>
    <w:p>
      <w:pPr>
        <w:keepNext/>
        <w:keepLines/>
        <w:spacing w:line="440" w:lineRule="exact"/>
        <w:ind w:firstLine="562" w:firstLineChars="200"/>
        <w:rPr>
          <w:rFonts w:ascii="宋体" w:hAnsi="宋体" w:cs="宋体"/>
          <w:b/>
          <w:szCs w:val="28"/>
        </w:rPr>
      </w:pPr>
      <w:bookmarkStart w:id="91" w:name="_Toc15497"/>
      <w:r>
        <w:rPr>
          <w:rFonts w:ascii="宋体" w:hAnsi="宋体" w:cs="宋体"/>
          <w:b/>
          <w:szCs w:val="28"/>
        </w:rPr>
        <w:t>四、资格条件及其他</w:t>
      </w:r>
      <w:bookmarkEnd w:id="91"/>
    </w:p>
    <w:p>
      <w:pPr>
        <w:tabs>
          <w:tab w:val="left" w:pos="6300"/>
        </w:tabs>
        <w:spacing w:line="440" w:lineRule="exact"/>
        <w:ind w:firstLine="560" w:firstLineChars="200"/>
        <w:rPr>
          <w:rFonts w:ascii="宋体" w:hAnsi="宋体" w:cs="宋体"/>
          <w:szCs w:val="28"/>
        </w:rPr>
      </w:pPr>
      <w:r>
        <w:rPr>
          <w:rFonts w:hint="eastAsia" w:ascii="宋体" w:hAnsi="宋体" w:cs="宋体"/>
          <w:szCs w:val="28"/>
        </w:rPr>
        <w:t>（一）法人营业执照（副本）或事业单位法人证书（副本）或个体工商户营业执照或有效的自然人身份证明或社会团体法人登记证书复印件</w:t>
      </w:r>
    </w:p>
    <w:p>
      <w:pPr>
        <w:tabs>
          <w:tab w:val="left" w:pos="6300"/>
        </w:tabs>
        <w:spacing w:line="440" w:lineRule="exact"/>
        <w:ind w:firstLine="560" w:firstLineChars="200"/>
        <w:rPr>
          <w:rFonts w:ascii="宋体" w:hAnsi="宋体" w:cs="宋体"/>
          <w:szCs w:val="28"/>
        </w:rPr>
      </w:pPr>
    </w:p>
    <w:p>
      <w:pPr>
        <w:tabs>
          <w:tab w:val="left" w:pos="6300"/>
        </w:tabs>
        <w:spacing w:line="440" w:lineRule="exact"/>
        <w:ind w:firstLine="560" w:firstLineChars="200"/>
        <w:rPr>
          <w:rFonts w:ascii="宋体" w:hAnsi="宋体" w:cs="宋体"/>
        </w:rPr>
      </w:pPr>
    </w:p>
    <w:p>
      <w:pPr>
        <w:pStyle w:val="29"/>
        <w:spacing w:line="440" w:lineRule="exact"/>
        <w:ind w:left="1680" w:firstLine="560" w:firstLineChars="200"/>
        <w:rPr>
          <w:rFonts w:ascii="宋体" w:hAnsi="宋体" w:eastAsia="宋体" w:cs="宋体"/>
        </w:rPr>
      </w:pPr>
    </w:p>
    <w:p>
      <w:pPr>
        <w:spacing w:line="440" w:lineRule="exact"/>
        <w:ind w:firstLine="560" w:firstLineChars="200"/>
        <w:rPr>
          <w:rFonts w:ascii="宋体" w:hAnsi="宋体" w:cs="宋体"/>
        </w:rPr>
      </w:pPr>
    </w:p>
    <w:p>
      <w:pPr>
        <w:pStyle w:val="29"/>
        <w:spacing w:line="440" w:lineRule="exact"/>
        <w:ind w:left="1680" w:firstLine="560" w:firstLineChars="200"/>
        <w:rPr>
          <w:rFonts w:ascii="宋体" w:hAnsi="宋体" w:eastAsia="宋体" w:cs="宋体"/>
        </w:rPr>
      </w:pPr>
    </w:p>
    <w:p>
      <w:pPr>
        <w:spacing w:line="440" w:lineRule="exact"/>
        <w:ind w:firstLine="560" w:firstLineChars="200"/>
        <w:rPr>
          <w:rFonts w:ascii="宋体" w:hAnsi="宋体" w:cs="宋体"/>
        </w:rPr>
      </w:pPr>
    </w:p>
    <w:p>
      <w:pPr>
        <w:pStyle w:val="29"/>
        <w:spacing w:line="440" w:lineRule="exact"/>
        <w:ind w:left="1680" w:firstLine="560" w:firstLineChars="200"/>
        <w:rPr>
          <w:rFonts w:ascii="宋体" w:hAnsi="宋体" w:eastAsia="宋体" w:cs="宋体"/>
        </w:rPr>
      </w:pPr>
    </w:p>
    <w:p>
      <w:pPr>
        <w:pStyle w:val="29"/>
        <w:spacing w:line="440" w:lineRule="exact"/>
        <w:ind w:left="1680" w:firstLine="560" w:firstLineChars="200"/>
        <w:rPr>
          <w:rFonts w:ascii="宋体" w:hAnsi="宋体" w:eastAsia="宋体" w:cs="宋体"/>
        </w:rPr>
      </w:pPr>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bidi w:val="0"/>
        <w:rPr>
          <w:lang w:eastAsia="zh-CN"/>
        </w:rPr>
      </w:pPr>
    </w:p>
    <w:p>
      <w:pPr>
        <w:bidi w:val="0"/>
      </w:pPr>
    </w:p>
    <w:p>
      <w:pPr>
        <w:bidi w:val="0"/>
        <w:rPr>
          <w:lang w:eastAsia="zh-CN"/>
        </w:rPr>
      </w:pPr>
    </w:p>
    <w:p>
      <w:pPr>
        <w:bidi w:val="0"/>
      </w:pPr>
    </w:p>
    <w:p>
      <w:pPr>
        <w:bidi w:val="0"/>
        <w:rPr>
          <w:lang w:eastAsia="zh-CN"/>
        </w:rPr>
      </w:pPr>
    </w:p>
    <w:p>
      <w:pPr>
        <w:bidi w:val="0"/>
      </w:pPr>
    </w:p>
    <w:p>
      <w:pPr>
        <w:bidi w:val="0"/>
      </w:pPr>
    </w:p>
    <w:p>
      <w:pPr>
        <w:bidi w:val="0"/>
      </w:pPr>
    </w:p>
    <w:p>
      <w:pPr>
        <w:bidi w:val="0"/>
      </w:pPr>
    </w:p>
    <w:p>
      <w:pPr>
        <w:bidi w:val="0"/>
      </w:pPr>
    </w:p>
    <w:p>
      <w:pPr>
        <w:bidi w:val="0"/>
        <w:rPr>
          <w:lang w:eastAsia="zh-CN"/>
        </w:rPr>
      </w:pPr>
    </w:p>
    <w:p>
      <w:pPr>
        <w:bidi w:val="0"/>
      </w:pPr>
    </w:p>
    <w:p>
      <w:pPr>
        <w:bidi w:val="0"/>
        <w:rPr>
          <w:lang w:eastAsia="zh-CN"/>
        </w:rPr>
      </w:pPr>
    </w:p>
    <w:p>
      <w:pPr>
        <w:spacing w:line="440" w:lineRule="exact"/>
        <w:ind w:firstLine="560" w:firstLineChars="200"/>
        <w:jc w:val="center"/>
        <w:rPr>
          <w:rFonts w:ascii="宋体" w:hAnsi="宋体" w:cs="宋体"/>
          <w:szCs w:val="28"/>
        </w:rPr>
      </w:pPr>
      <w:r>
        <w:rPr>
          <w:rFonts w:ascii="宋体" w:hAnsi="宋体" w:cs="宋体"/>
          <w:szCs w:val="28"/>
        </w:rPr>
        <w:t>（</w:t>
      </w:r>
      <w:r>
        <w:rPr>
          <w:rFonts w:hint="eastAsia" w:ascii="宋体" w:hAnsi="宋体" w:cs="宋体"/>
          <w:szCs w:val="28"/>
        </w:rPr>
        <w:t>二</w:t>
      </w:r>
      <w:r>
        <w:rPr>
          <w:rFonts w:ascii="宋体" w:hAnsi="宋体" w:cs="宋体"/>
          <w:szCs w:val="28"/>
        </w:rPr>
        <w:t>）法定代表人身份证明书（格式）</w:t>
      </w:r>
    </w:p>
    <w:p>
      <w:pPr>
        <w:tabs>
          <w:tab w:val="left" w:pos="6300"/>
        </w:tabs>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r>
        <w:rPr>
          <w:rFonts w:ascii="宋体" w:hAnsi="宋体" w:cs="宋体"/>
          <w:sz w:val="24"/>
        </w:rPr>
        <w:t>磋商项目名称：</w:t>
      </w:r>
    </w:p>
    <w:p>
      <w:pPr>
        <w:tabs>
          <w:tab w:val="left" w:pos="6300"/>
        </w:tabs>
        <w:spacing w:line="440" w:lineRule="exact"/>
        <w:ind w:firstLine="480" w:firstLineChars="20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致：（采购代理机构名称）：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（法定代表人姓名）在（供应商名称）任（职务名称）职务，是（供应商名称）的法定代表人。</w:t>
      </w:r>
    </w:p>
    <w:p>
      <w:pPr>
        <w:tabs>
          <w:tab w:val="left" w:pos="6300"/>
        </w:tabs>
        <w:snapToGrid w:val="0"/>
        <w:spacing w:line="500" w:lineRule="exact"/>
        <w:ind w:firstLine="570"/>
        <w:rPr>
          <w:rFonts w:ascii="宋体" w:hAnsi="宋体" w:cs="宋体"/>
          <w:sz w:val="24"/>
        </w:rPr>
      </w:pPr>
    </w:p>
    <w:p>
      <w:pPr>
        <w:tabs>
          <w:tab w:val="left" w:pos="6300"/>
        </w:tabs>
        <w:spacing w:line="440" w:lineRule="exact"/>
        <w:ind w:firstLine="480" w:firstLineChars="200"/>
        <w:rPr>
          <w:rFonts w:ascii="宋体" w:hAnsi="宋体" w:cs="宋体"/>
          <w:sz w:val="24"/>
        </w:rPr>
      </w:pPr>
      <w:r>
        <w:rPr>
          <w:rFonts w:hint="eastAsia" w:ascii="宋体" w:hAnsi="宋体" w:cs="宋体"/>
          <w:sz w:val="24"/>
        </w:rPr>
        <w:t>特此证明。</w:t>
      </w:r>
    </w:p>
    <w:p>
      <w:pPr>
        <w:tabs>
          <w:tab w:val="left" w:pos="6300"/>
        </w:tabs>
        <w:spacing w:line="440" w:lineRule="exact"/>
        <w:ind w:firstLine="480" w:firstLineChars="200"/>
        <w:jc w:val="right"/>
        <w:rPr>
          <w:rFonts w:ascii="宋体" w:hAnsi="宋体" w:cs="宋体"/>
          <w:sz w:val="24"/>
        </w:rPr>
      </w:pPr>
      <w:r>
        <w:rPr>
          <w:rFonts w:ascii="宋体" w:hAnsi="宋体" w:cs="宋体"/>
          <w:sz w:val="24"/>
        </w:rPr>
        <w:t>（供应商公章）</w:t>
      </w:r>
    </w:p>
    <w:p>
      <w:pPr>
        <w:tabs>
          <w:tab w:val="left" w:pos="6300"/>
        </w:tabs>
        <w:spacing w:line="440" w:lineRule="exact"/>
        <w:ind w:firstLine="480" w:firstLineChars="200"/>
        <w:jc w:val="right"/>
        <w:rPr>
          <w:rFonts w:ascii="宋体" w:hAnsi="宋体" w:cs="宋体"/>
          <w:sz w:val="24"/>
        </w:rPr>
      </w:pPr>
      <w:r>
        <w:rPr>
          <w:rFonts w:ascii="宋体" w:hAnsi="宋体" w:cs="宋体"/>
          <w:sz w:val="24"/>
        </w:rPr>
        <w:t>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tabs>
          <w:tab w:val="left" w:pos="6300"/>
        </w:tabs>
        <w:snapToGrid w:val="0"/>
        <w:spacing w:line="500" w:lineRule="exact"/>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法定代表人电话：XXXXXXX      电子邮箱：XXXXXX@XXXXX（若授权他人办理并签署响应文件的可不填写）</w:t>
      </w:r>
    </w:p>
    <w:p>
      <w:pPr>
        <w:tabs>
          <w:tab w:val="left" w:pos="6300"/>
        </w:tabs>
        <w:snapToGrid w:val="0"/>
        <w:spacing w:line="500" w:lineRule="exact"/>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（附：法定代表人身份证正反面复印件）</w:t>
      </w: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pStyle w:val="29"/>
        <w:ind w:left="1680"/>
        <w:rPr>
          <w:rFonts w:eastAsiaTheme="minorEastAsia"/>
          <w:lang w:eastAsia="zh-CN"/>
        </w:rPr>
      </w:pPr>
    </w:p>
    <w:p/>
    <w:p>
      <w:pPr>
        <w:bidi w:val="0"/>
        <w:rPr>
          <w:lang w:eastAsia="zh-CN"/>
        </w:rPr>
      </w:pPr>
    </w:p>
    <w:p>
      <w:pPr>
        <w:bidi w:val="0"/>
      </w:pPr>
    </w:p>
    <w:p>
      <w:pPr>
        <w:bidi w:val="0"/>
        <w:rPr>
          <w:lang w:eastAsia="zh-CN"/>
        </w:rPr>
      </w:pPr>
    </w:p>
    <w:p>
      <w:pPr>
        <w:bidi w:val="0"/>
      </w:pPr>
    </w:p>
    <w:p>
      <w:pPr>
        <w:bidi w:val="0"/>
        <w:rPr>
          <w:lang w:eastAsia="zh-CN"/>
        </w:rPr>
      </w:pPr>
    </w:p>
    <w:p>
      <w:pPr>
        <w:bidi w:val="0"/>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pPr>
    </w:p>
    <w:p>
      <w:pPr>
        <w:tabs>
          <w:tab w:val="left" w:pos="6300"/>
        </w:tabs>
        <w:spacing w:line="440" w:lineRule="exact"/>
        <w:ind w:firstLine="560" w:firstLineChars="200"/>
        <w:jc w:val="center"/>
        <w:rPr>
          <w:rFonts w:ascii="宋体" w:hAnsi="宋体" w:cs="宋体"/>
          <w:szCs w:val="28"/>
        </w:rPr>
      </w:pPr>
      <w:r>
        <w:rPr>
          <w:rFonts w:ascii="宋体" w:hAnsi="宋体" w:cs="宋体"/>
          <w:szCs w:val="28"/>
        </w:rPr>
        <w:t>（</w:t>
      </w:r>
      <w:r>
        <w:rPr>
          <w:rFonts w:hint="eastAsia" w:ascii="宋体" w:hAnsi="宋体" w:cs="宋体"/>
          <w:szCs w:val="28"/>
        </w:rPr>
        <w:t>三</w:t>
      </w:r>
      <w:r>
        <w:rPr>
          <w:rFonts w:ascii="宋体" w:hAnsi="宋体" w:cs="宋体"/>
          <w:szCs w:val="28"/>
        </w:rPr>
        <w:t>）法定代表人授权委托书（格式）</w:t>
      </w:r>
    </w:p>
    <w:p>
      <w:pPr>
        <w:tabs>
          <w:tab w:val="left" w:pos="6300"/>
        </w:tabs>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r>
        <w:rPr>
          <w:rFonts w:ascii="宋体" w:hAnsi="宋体" w:cs="宋体"/>
          <w:sz w:val="24"/>
        </w:rPr>
        <w:t>磋商项目名称：</w:t>
      </w:r>
    </w:p>
    <w:p>
      <w:pPr>
        <w:tabs>
          <w:tab w:val="left" w:pos="6300"/>
        </w:tabs>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r>
        <w:rPr>
          <w:rFonts w:ascii="宋体" w:hAnsi="宋体" w:cs="宋体"/>
          <w:sz w:val="24"/>
        </w:rPr>
        <w:t>致：（采购代理机构名称）：</w:t>
      </w:r>
    </w:p>
    <w:p>
      <w:pPr>
        <w:tabs>
          <w:tab w:val="left" w:pos="6300"/>
        </w:tabs>
        <w:spacing w:line="440" w:lineRule="exact"/>
        <w:ind w:firstLine="480" w:firstLineChars="200"/>
        <w:rPr>
          <w:rFonts w:ascii="宋体" w:hAnsi="宋体" w:cs="宋体"/>
          <w:sz w:val="24"/>
        </w:rPr>
      </w:pPr>
      <w:r>
        <w:rPr>
          <w:rFonts w:ascii="宋体" w:hAnsi="宋体" w:cs="宋体"/>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pacing w:line="440" w:lineRule="exact"/>
        <w:ind w:firstLine="480" w:firstLineChars="200"/>
        <w:rPr>
          <w:rFonts w:ascii="宋体" w:hAnsi="宋体" w:cs="宋体"/>
          <w:sz w:val="24"/>
        </w:rPr>
      </w:pPr>
      <w:r>
        <w:rPr>
          <w:rFonts w:ascii="宋体" w:hAnsi="宋体" w:cs="宋体"/>
          <w:sz w:val="24"/>
        </w:rPr>
        <w:t>我单位对被授权人的签字负全部责任。</w:t>
      </w:r>
    </w:p>
    <w:p>
      <w:pPr>
        <w:tabs>
          <w:tab w:val="left" w:pos="6300"/>
        </w:tabs>
        <w:spacing w:line="440" w:lineRule="exact"/>
        <w:ind w:firstLine="480" w:firstLineChars="200"/>
        <w:rPr>
          <w:rFonts w:ascii="宋体" w:hAnsi="宋体" w:cs="宋体"/>
          <w:sz w:val="24"/>
        </w:rPr>
      </w:pPr>
      <w:r>
        <w:rPr>
          <w:rFonts w:ascii="宋体" w:hAnsi="宋体" w:cs="宋体"/>
          <w:sz w:val="24"/>
        </w:rPr>
        <w:t>在撤消授权的书面通知以前，本授权书一直有效。被授权人在授权书有效期内签署的所有文件不因授权的撤消而失效。</w:t>
      </w:r>
    </w:p>
    <w:p>
      <w:pPr>
        <w:tabs>
          <w:tab w:val="left" w:pos="6300"/>
        </w:tabs>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r>
        <w:rPr>
          <w:rFonts w:ascii="宋体" w:hAnsi="宋体" w:cs="宋体"/>
          <w:sz w:val="24"/>
        </w:rPr>
        <w:t>被授权人：</w:t>
      </w:r>
      <w:r>
        <w:rPr>
          <w:rFonts w:hint="eastAsia" w:ascii="宋体" w:hAnsi="宋体" w:cs="宋体"/>
          <w:sz w:val="24"/>
        </w:rPr>
        <w:t xml:space="preserve">                                     </w:t>
      </w:r>
      <w:r>
        <w:rPr>
          <w:rFonts w:ascii="宋体" w:hAnsi="宋体" w:cs="宋体"/>
          <w:sz w:val="24"/>
        </w:rPr>
        <w:t>供应商法定代表人：</w:t>
      </w:r>
    </w:p>
    <w:p>
      <w:pPr>
        <w:tabs>
          <w:tab w:val="left" w:pos="6300"/>
        </w:tabs>
        <w:spacing w:line="440" w:lineRule="exact"/>
        <w:ind w:firstLine="480" w:firstLineChars="200"/>
        <w:rPr>
          <w:rFonts w:ascii="宋体" w:hAnsi="宋体" w:cs="宋体"/>
          <w:sz w:val="24"/>
        </w:rPr>
      </w:pPr>
      <w:r>
        <w:rPr>
          <w:rFonts w:ascii="宋体" w:hAnsi="宋体" w:cs="宋体"/>
          <w:sz w:val="24"/>
        </w:rPr>
        <w:t>（签字或盖章）</w:t>
      </w:r>
      <w:r>
        <w:rPr>
          <w:rFonts w:hint="eastAsia" w:ascii="宋体" w:hAnsi="宋体" w:cs="宋体"/>
          <w:sz w:val="24"/>
        </w:rPr>
        <w:t xml:space="preserve">                                  </w:t>
      </w:r>
      <w:r>
        <w:rPr>
          <w:rFonts w:ascii="宋体" w:hAnsi="宋体" w:cs="宋体"/>
          <w:sz w:val="24"/>
        </w:rPr>
        <w:t>（签字或盖章）</w:t>
      </w:r>
    </w:p>
    <w:p>
      <w:pPr>
        <w:tabs>
          <w:tab w:val="left" w:pos="6300"/>
        </w:tabs>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r>
        <w:rPr>
          <w:rFonts w:ascii="宋体" w:hAnsi="宋体" w:cs="宋体"/>
          <w:sz w:val="24"/>
        </w:rPr>
        <w:t>（附：被授权人身份证正反面复印件）</w:t>
      </w:r>
    </w:p>
    <w:p>
      <w:pPr>
        <w:tabs>
          <w:tab w:val="left" w:pos="6300"/>
        </w:tabs>
        <w:spacing w:line="440" w:lineRule="exact"/>
        <w:ind w:firstLine="480" w:firstLineChars="200"/>
        <w:rPr>
          <w:rFonts w:ascii="宋体" w:hAnsi="宋体" w:cs="宋体"/>
          <w:sz w:val="24"/>
        </w:rPr>
      </w:pPr>
    </w:p>
    <w:p>
      <w:pPr>
        <w:tabs>
          <w:tab w:val="left" w:pos="6300"/>
        </w:tabs>
        <w:spacing w:line="440" w:lineRule="exact"/>
        <w:ind w:right="480" w:firstLine="480" w:firstLineChars="200"/>
        <w:jc w:val="right"/>
        <w:rPr>
          <w:rFonts w:ascii="宋体" w:hAnsi="宋体" w:cs="宋体"/>
          <w:sz w:val="24"/>
        </w:rPr>
      </w:pPr>
      <w:r>
        <w:rPr>
          <w:rFonts w:ascii="宋体" w:hAnsi="宋体" w:cs="宋体"/>
          <w:sz w:val="24"/>
        </w:rPr>
        <w:t>（供应商公章）</w:t>
      </w:r>
    </w:p>
    <w:p>
      <w:pPr>
        <w:tabs>
          <w:tab w:val="left" w:pos="6300"/>
        </w:tabs>
        <w:spacing w:line="440" w:lineRule="exact"/>
        <w:ind w:right="480" w:firstLine="480" w:firstLineChars="200"/>
        <w:jc w:val="right"/>
        <w:rPr>
          <w:rFonts w:ascii="宋体" w:hAnsi="宋体" w:cs="宋体"/>
          <w:sz w:val="24"/>
        </w:rPr>
      </w:pPr>
      <w:r>
        <w:rPr>
          <w:rFonts w:ascii="宋体" w:hAnsi="宋体" w:cs="宋体"/>
          <w:sz w:val="24"/>
        </w:rPr>
        <w:t>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tabs>
          <w:tab w:val="left" w:pos="6300"/>
        </w:tabs>
        <w:spacing w:line="440" w:lineRule="exact"/>
        <w:ind w:right="480" w:firstLine="560" w:firstLineChars="200"/>
        <w:jc w:val="right"/>
        <w:rPr>
          <w:rFonts w:ascii="宋体" w:hAnsi="宋体" w:cs="宋体"/>
        </w:rPr>
      </w:pPr>
    </w:p>
    <w:p>
      <w:pPr>
        <w:pStyle w:val="58"/>
        <w:rPr>
          <w:rFonts w:cs="宋体"/>
        </w:rPr>
      </w:pPr>
    </w:p>
    <w:p>
      <w:pPr>
        <w:pStyle w:val="58"/>
        <w:rPr>
          <w:rFonts w:cs="宋体"/>
        </w:rPr>
      </w:pPr>
    </w:p>
    <w:p>
      <w:pPr>
        <w:pStyle w:val="58"/>
        <w:rPr>
          <w:rFonts w:cs="宋体"/>
        </w:rPr>
      </w:pPr>
    </w:p>
    <w:p>
      <w:pPr>
        <w:tabs>
          <w:tab w:val="left" w:pos="6300"/>
        </w:tabs>
        <w:spacing w:line="440" w:lineRule="exact"/>
        <w:ind w:right="480" w:firstLine="480" w:firstLineChars="20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pacing w:line="440" w:lineRule="exact"/>
        <w:ind w:right="480" w:firstLine="480" w:firstLineChars="200"/>
        <w:jc w:val="left"/>
        <w:rPr>
          <w:rFonts w:ascii="宋体" w:hAnsi="宋体" w:cs="宋体"/>
          <w:sz w:val="24"/>
        </w:rPr>
      </w:pPr>
      <w:r>
        <w:rPr>
          <w:rFonts w:hint="eastAsia" w:ascii="宋体" w:hAnsi="宋体" w:cs="宋体"/>
          <w:sz w:val="24"/>
        </w:rPr>
        <w:t>注：</w:t>
      </w:r>
    </w:p>
    <w:p>
      <w:pPr>
        <w:tabs>
          <w:tab w:val="left" w:pos="6300"/>
        </w:tabs>
        <w:spacing w:line="440" w:lineRule="exact"/>
        <w:ind w:right="480" w:firstLine="480" w:firstLineChars="200"/>
        <w:jc w:val="left"/>
        <w:rPr>
          <w:rFonts w:ascii="宋体" w:hAnsi="宋体" w:cs="宋体"/>
          <w:sz w:val="24"/>
        </w:rPr>
      </w:pPr>
      <w:r>
        <w:rPr>
          <w:rFonts w:hint="eastAsia" w:ascii="宋体" w:hAnsi="宋体" w:cs="宋体"/>
          <w:sz w:val="24"/>
        </w:rPr>
        <w:t>若为法定代表人办理并签署响应文件的，不提供此文件。</w:t>
      </w:r>
    </w:p>
    <w:p>
      <w:pPr>
        <w:pStyle w:val="29"/>
        <w:ind w:left="1680"/>
        <w:rPr>
          <w:rFonts w:eastAsiaTheme="minorEastAsia"/>
          <w:lang w:eastAsia="zh-CN"/>
        </w:rPr>
      </w:pPr>
    </w:p>
    <w:p>
      <w:pPr>
        <w:bidi w:val="0"/>
        <w:rPr>
          <w:lang w:eastAsia="zh-CN"/>
        </w:rPr>
      </w:pPr>
    </w:p>
    <w:p>
      <w:pPr>
        <w:bidi w:val="0"/>
        <w:rPr>
          <w:lang w:eastAsia="zh-CN"/>
        </w:rPr>
      </w:pPr>
    </w:p>
    <w:p>
      <w:pPr>
        <w:bidi w:val="0"/>
        <w:rPr>
          <w:lang w:eastAsia="zh-CN"/>
        </w:rPr>
      </w:pPr>
    </w:p>
    <w:p>
      <w:pPr>
        <w:tabs>
          <w:tab w:val="left" w:pos="6300"/>
        </w:tabs>
        <w:spacing w:line="440" w:lineRule="exact"/>
        <w:ind w:firstLine="560" w:firstLineChars="200"/>
        <w:rPr>
          <w:rFonts w:ascii="宋体" w:hAnsi="宋体" w:cs="宋体"/>
          <w:szCs w:val="28"/>
        </w:rPr>
      </w:pPr>
      <w:r>
        <w:rPr>
          <w:rFonts w:ascii="宋体" w:hAnsi="宋体" w:cs="宋体"/>
          <w:szCs w:val="28"/>
        </w:rPr>
        <w:t>（</w:t>
      </w:r>
      <w:r>
        <w:rPr>
          <w:rFonts w:hint="eastAsia" w:ascii="宋体" w:hAnsi="宋体" w:cs="宋体"/>
          <w:szCs w:val="28"/>
        </w:rPr>
        <w:t>四</w:t>
      </w:r>
      <w:r>
        <w:rPr>
          <w:rFonts w:ascii="宋体" w:hAnsi="宋体" w:cs="宋体"/>
          <w:szCs w:val="28"/>
        </w:rPr>
        <w:t>）提供</w:t>
      </w:r>
      <w:r>
        <w:rPr>
          <w:rFonts w:hint="eastAsia" w:ascii="宋体" w:hAnsi="宋体" w:cs="宋体"/>
          <w:szCs w:val="28"/>
        </w:rPr>
        <w:t>2020年度或2021年度</w:t>
      </w:r>
      <w:r>
        <w:rPr>
          <w:rFonts w:ascii="宋体" w:hAnsi="宋体" w:cs="宋体"/>
          <w:szCs w:val="28"/>
        </w:rPr>
        <w:t>财务状况报告（表）复印件，新成立或成立不满一年的组织和自然人无法提供财务状况报告（表）的，可提供银行出具的资信证明复印件。</w:t>
      </w: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bidi w:val="0"/>
      </w:pPr>
    </w:p>
    <w:p>
      <w:pPr>
        <w:bidi w:val="0"/>
      </w:pPr>
    </w:p>
    <w:p>
      <w:pPr>
        <w:bidi w:val="0"/>
        <w:rPr>
          <w:lang w:eastAsia="zh-CN"/>
        </w:rPr>
      </w:pPr>
    </w:p>
    <w:p>
      <w:pPr>
        <w:bidi w:val="0"/>
      </w:pPr>
    </w:p>
    <w:p>
      <w:pPr>
        <w:bidi w:val="0"/>
        <w:rPr>
          <w:lang w:eastAsia="zh-CN"/>
        </w:rPr>
      </w:pPr>
    </w:p>
    <w:p>
      <w:pPr>
        <w:bidi w:val="0"/>
      </w:pPr>
    </w:p>
    <w:p>
      <w:pPr>
        <w:bidi w:val="0"/>
        <w:rPr>
          <w:lang w:eastAsia="zh-CN"/>
        </w:rPr>
      </w:pPr>
    </w:p>
    <w:p>
      <w:pPr>
        <w:bidi w:val="0"/>
      </w:pPr>
    </w:p>
    <w:p>
      <w:pPr>
        <w:bidi w:val="0"/>
        <w:rPr>
          <w:lang w:eastAsia="zh-CN"/>
        </w:rPr>
      </w:pPr>
    </w:p>
    <w:p>
      <w:pPr>
        <w:bidi w:val="0"/>
      </w:pPr>
    </w:p>
    <w:p>
      <w:pPr>
        <w:bidi w:val="0"/>
        <w:rPr>
          <w:lang w:eastAsia="zh-CN"/>
        </w:rPr>
      </w:pPr>
    </w:p>
    <w:p>
      <w:pPr>
        <w:bidi w:val="0"/>
      </w:pPr>
    </w:p>
    <w:p>
      <w:pPr>
        <w:bidi w:val="0"/>
      </w:pPr>
    </w:p>
    <w:p>
      <w:pPr>
        <w:bidi w:val="0"/>
      </w:pPr>
    </w:p>
    <w:p>
      <w:pPr>
        <w:bidi w:val="0"/>
      </w:pPr>
    </w:p>
    <w:p>
      <w:pPr>
        <w:bidi w:val="0"/>
      </w:pPr>
    </w:p>
    <w:p>
      <w:pPr>
        <w:bidi w:val="0"/>
      </w:pPr>
    </w:p>
    <w:p>
      <w:pPr>
        <w:bidi w:val="0"/>
      </w:pPr>
    </w:p>
    <w:p>
      <w:pPr>
        <w:bidi w:val="0"/>
      </w:pPr>
    </w:p>
    <w:p>
      <w:pPr>
        <w:bidi w:val="0"/>
        <w:jc w:val="center"/>
      </w:pPr>
      <w:r>
        <w:rPr>
          <w:rFonts w:hint="eastAsia" w:ascii="宋体" w:hAnsi="宋体" w:cs="宋体"/>
          <w:szCs w:val="28"/>
          <w:lang w:eastAsia="zh-CN"/>
        </w:rPr>
        <w:t>（</w:t>
      </w:r>
      <w:r>
        <w:rPr>
          <w:rFonts w:hint="eastAsia" w:ascii="宋体" w:hAnsi="宋体" w:cs="宋体"/>
          <w:szCs w:val="28"/>
          <w:lang w:val="en-US" w:eastAsia="zh-CN"/>
        </w:rPr>
        <w:t>五</w:t>
      </w:r>
      <w:r>
        <w:rPr>
          <w:rFonts w:hint="eastAsia" w:ascii="宋体" w:hAnsi="宋体" w:cs="宋体"/>
          <w:szCs w:val="28"/>
          <w:lang w:eastAsia="zh-CN"/>
        </w:rPr>
        <w:t>）</w:t>
      </w:r>
      <w:r>
        <w:rPr>
          <w:rFonts w:hint="eastAsia" w:ascii="宋体" w:hAnsi="宋体" w:cs="宋体"/>
          <w:szCs w:val="28"/>
        </w:rPr>
        <w:t>国家水上运动中心摩托艇协会核发的摩托艇运动员证</w:t>
      </w:r>
      <w:r>
        <w:rPr>
          <w:rFonts w:hint="eastAsia" w:ascii="宋体" w:hAnsi="宋体" w:cs="宋体"/>
          <w:szCs w:val="28"/>
          <w:lang w:eastAsia="zh-CN"/>
        </w:rPr>
        <w:t>、救生员证复印件</w:t>
      </w:r>
    </w:p>
    <w:p>
      <w:pPr>
        <w:bidi w:val="0"/>
      </w:pPr>
    </w:p>
    <w:p>
      <w:pPr>
        <w:bidi w:val="0"/>
      </w:pPr>
    </w:p>
    <w:p>
      <w:pPr>
        <w:bidi w:val="0"/>
      </w:pPr>
    </w:p>
    <w:p>
      <w:pPr>
        <w:bidi w:val="0"/>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pPr>
    </w:p>
    <w:p>
      <w:pPr>
        <w:tabs>
          <w:tab w:val="left" w:pos="6300"/>
        </w:tabs>
        <w:spacing w:line="440" w:lineRule="exact"/>
        <w:ind w:firstLine="560" w:firstLineChars="200"/>
        <w:jc w:val="center"/>
        <w:rPr>
          <w:rFonts w:ascii="宋体" w:hAnsi="宋体" w:cs="宋体"/>
          <w:szCs w:val="28"/>
        </w:rPr>
      </w:pPr>
      <w:r>
        <w:rPr>
          <w:rFonts w:ascii="宋体" w:hAnsi="宋体" w:cs="宋体"/>
          <w:szCs w:val="28"/>
        </w:rPr>
        <w:t>（</w:t>
      </w:r>
      <w:r>
        <w:rPr>
          <w:rFonts w:hint="eastAsia" w:ascii="宋体" w:hAnsi="宋体" w:cs="宋体"/>
          <w:szCs w:val="28"/>
          <w:lang w:val="en-US" w:eastAsia="zh-CN"/>
        </w:rPr>
        <w:t>六</w:t>
      </w:r>
      <w:r>
        <w:rPr>
          <w:rFonts w:ascii="宋体" w:hAnsi="宋体" w:cs="宋体"/>
          <w:szCs w:val="28"/>
        </w:rPr>
        <w:t>）书面声明</w:t>
      </w:r>
    </w:p>
    <w:p>
      <w:pPr>
        <w:tabs>
          <w:tab w:val="left" w:pos="6300"/>
        </w:tabs>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r>
        <w:rPr>
          <w:rFonts w:ascii="宋体" w:hAnsi="宋体" w:cs="宋体"/>
          <w:sz w:val="24"/>
        </w:rPr>
        <w:t>磋商项目名称：</w:t>
      </w:r>
    </w:p>
    <w:p>
      <w:pPr>
        <w:tabs>
          <w:tab w:val="left" w:pos="6300"/>
        </w:tabs>
        <w:spacing w:line="440" w:lineRule="exact"/>
        <w:ind w:firstLine="480" w:firstLineChars="200"/>
        <w:rPr>
          <w:rFonts w:ascii="宋体" w:hAnsi="宋体" w:cs="宋体"/>
          <w:sz w:val="24"/>
        </w:rPr>
      </w:pPr>
      <w:r>
        <w:rPr>
          <w:rFonts w:ascii="宋体" w:hAnsi="宋体" w:cs="宋体"/>
          <w:sz w:val="24"/>
        </w:rPr>
        <w:t>致：（采购代理机构名称）：</w:t>
      </w:r>
    </w:p>
    <w:p>
      <w:pPr>
        <w:tabs>
          <w:tab w:val="left" w:pos="6300"/>
        </w:tabs>
        <w:spacing w:line="440" w:lineRule="exact"/>
        <w:ind w:firstLine="480" w:firstLineChars="200"/>
        <w:rPr>
          <w:rFonts w:ascii="宋体" w:hAnsi="宋体" w:cs="宋体"/>
          <w:sz w:val="24"/>
        </w:rPr>
      </w:pPr>
      <w:r>
        <w:rPr>
          <w:rFonts w:ascii="宋体" w:hAnsi="宋体" w:cs="宋体"/>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fldChar w:fldCharType="begin"/>
      </w:r>
      <w:r>
        <w:instrText xml:space="preserve"> HYPERLINK "http://www.creditchina.gov.cn/" \h </w:instrText>
      </w:r>
      <w:r>
        <w:fldChar w:fldCharType="separate"/>
      </w:r>
      <w:r>
        <w:rPr>
          <w:rFonts w:ascii="宋体" w:hAnsi="宋体" w:cs="宋体"/>
          <w:sz w:val="24"/>
          <w:u w:val="single"/>
        </w:rPr>
        <w:t>www.creditchina.gov.cn</w:t>
      </w:r>
      <w:r>
        <w:rPr>
          <w:rFonts w:ascii="宋体" w:hAnsi="宋体" w:cs="宋体"/>
          <w:sz w:val="24"/>
          <w:u w:val="single"/>
        </w:rPr>
        <w:fldChar w:fldCharType="end"/>
      </w:r>
      <w:r>
        <w:rPr>
          <w:rFonts w:ascii="宋体" w:hAnsi="宋体" w:cs="宋体"/>
          <w:sz w:val="24"/>
        </w:rPr>
        <w:t>）  “失信被执行人”、 “重大税收违法案件当事人名单”、中，也未列入中国政府采购网（</w:t>
      </w:r>
      <w:r>
        <w:fldChar w:fldCharType="begin"/>
      </w:r>
      <w:r>
        <w:instrText xml:space="preserve"> HYPERLINK "http://www.ccgp.gov.cn/" \h </w:instrText>
      </w:r>
      <w:r>
        <w:fldChar w:fldCharType="separate"/>
      </w:r>
      <w:r>
        <w:rPr>
          <w:rFonts w:ascii="宋体" w:hAnsi="宋体" w:cs="宋体"/>
          <w:sz w:val="24"/>
          <w:u w:val="single"/>
        </w:rPr>
        <w:t>www.ccgp.gov.cn</w:t>
      </w:r>
      <w:r>
        <w:rPr>
          <w:rFonts w:ascii="宋体" w:hAnsi="宋体" w:cs="宋体"/>
          <w:sz w:val="24"/>
          <w:u w:val="single"/>
        </w:rPr>
        <w:fldChar w:fldCharType="end"/>
      </w:r>
      <w:r>
        <w:rPr>
          <w:rFonts w:ascii="宋体" w:hAnsi="宋体" w:cs="宋体"/>
          <w:sz w:val="24"/>
        </w:rPr>
        <w:t>）“政府采购严重违法失信行为记录名单”中，并随时接受采购人、采购代理机构的检查验证，我方对以上声明负全部法律责任。</w:t>
      </w:r>
    </w:p>
    <w:p>
      <w:pPr>
        <w:tabs>
          <w:tab w:val="left" w:pos="6300"/>
        </w:tabs>
        <w:spacing w:line="440" w:lineRule="exact"/>
        <w:ind w:firstLine="480" w:firstLineChars="200"/>
        <w:rPr>
          <w:rFonts w:ascii="宋体" w:hAnsi="宋体" w:cs="宋体"/>
          <w:sz w:val="24"/>
        </w:rPr>
      </w:pPr>
      <w:r>
        <w:rPr>
          <w:rFonts w:ascii="宋体" w:hAnsi="宋体" w:cs="宋体"/>
          <w:sz w:val="24"/>
        </w:rPr>
        <w:t>特此声明。</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tabs>
          <w:tab w:val="left" w:pos="6300"/>
        </w:tabs>
        <w:spacing w:line="440" w:lineRule="exact"/>
        <w:ind w:firstLine="480" w:firstLineChars="200"/>
        <w:rPr>
          <w:rFonts w:ascii="宋体" w:hAnsi="宋体" w:cs="宋体"/>
          <w:sz w:val="24"/>
        </w:rPr>
      </w:pPr>
    </w:p>
    <w:p>
      <w:pPr>
        <w:tabs>
          <w:tab w:val="left" w:pos="6300"/>
        </w:tabs>
        <w:spacing w:line="440" w:lineRule="exact"/>
        <w:ind w:right="480" w:firstLine="480" w:firstLineChars="200"/>
        <w:jc w:val="right"/>
        <w:rPr>
          <w:rFonts w:ascii="宋体" w:hAnsi="宋体" w:cs="宋体"/>
          <w:sz w:val="24"/>
        </w:rPr>
      </w:pPr>
      <w:r>
        <w:rPr>
          <w:rFonts w:hint="eastAsia" w:ascii="宋体" w:hAnsi="宋体" w:cs="宋体"/>
          <w:sz w:val="24"/>
        </w:rPr>
        <w:t>（供应商公章或自然人签署）</w:t>
      </w:r>
    </w:p>
    <w:p>
      <w:pPr>
        <w:tabs>
          <w:tab w:val="left" w:pos="6300"/>
        </w:tabs>
        <w:spacing w:line="440" w:lineRule="exact"/>
        <w:ind w:right="480" w:firstLine="480" w:firstLineChars="200"/>
        <w:jc w:val="right"/>
        <w:rPr>
          <w:rFonts w:ascii="宋体" w:hAnsi="宋体" w:cs="宋体"/>
          <w:sz w:val="24"/>
        </w:rPr>
      </w:pPr>
      <w:r>
        <w:rPr>
          <w:rFonts w:ascii="宋体" w:hAnsi="宋体" w:cs="宋体"/>
          <w:sz w:val="24"/>
        </w:rPr>
        <w:t>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tabs>
          <w:tab w:val="left" w:pos="6300"/>
        </w:tabs>
        <w:spacing w:line="440" w:lineRule="exact"/>
        <w:ind w:left="560" w:firstLine="560" w:firstLineChars="200"/>
        <w:rPr>
          <w:rFonts w:ascii="宋体" w:hAnsi="宋体" w:cs="宋体"/>
        </w:rPr>
      </w:pPr>
    </w:p>
    <w:p>
      <w:pPr>
        <w:bidi w:val="0"/>
      </w:pPr>
    </w:p>
    <w:p>
      <w:pPr>
        <w:bidi w:val="0"/>
      </w:pPr>
    </w:p>
    <w:p>
      <w:pPr>
        <w:bidi w:val="0"/>
      </w:pPr>
    </w:p>
    <w:p>
      <w:pPr>
        <w:bidi w:val="0"/>
        <w:rPr>
          <w:lang w:eastAsia="zh-CN"/>
        </w:rPr>
      </w:pPr>
    </w:p>
    <w:p>
      <w:pPr>
        <w:bidi w:val="0"/>
      </w:pPr>
    </w:p>
    <w:p>
      <w:pPr>
        <w:bidi w:val="0"/>
        <w:rPr>
          <w:lang w:eastAsia="zh-CN"/>
        </w:rPr>
      </w:pPr>
    </w:p>
    <w:p>
      <w:pPr>
        <w:bidi w:val="0"/>
        <w:rPr>
          <w:lang w:eastAsia="zh-CN"/>
        </w:rPr>
      </w:pPr>
    </w:p>
    <w:p>
      <w:pPr>
        <w:bidi w:val="0"/>
      </w:pPr>
    </w:p>
    <w:p>
      <w:pPr>
        <w:bidi w:val="0"/>
        <w:rPr>
          <w:lang w:eastAsia="zh-CN"/>
        </w:rPr>
      </w:pPr>
    </w:p>
    <w:p>
      <w:pPr>
        <w:bidi w:val="0"/>
        <w:rPr>
          <w:lang w:eastAsia="zh-CN"/>
        </w:rPr>
      </w:pPr>
    </w:p>
    <w:p>
      <w:pPr>
        <w:bidi w:val="0"/>
        <w:rPr>
          <w:lang w:eastAsia="zh-CN"/>
        </w:rPr>
      </w:pPr>
    </w:p>
    <w:p>
      <w:pPr>
        <w:bidi w:val="0"/>
        <w:rPr>
          <w:lang w:eastAsia="zh-CN"/>
        </w:rPr>
      </w:pPr>
    </w:p>
    <w:p>
      <w:pPr>
        <w:bidi w:val="0"/>
      </w:pPr>
    </w:p>
    <w:p>
      <w:pPr>
        <w:bidi w:val="0"/>
        <w:rPr>
          <w:lang w:eastAsia="zh-CN"/>
        </w:rPr>
      </w:pPr>
    </w:p>
    <w:p>
      <w:pPr>
        <w:bidi w:val="0"/>
      </w:pPr>
    </w:p>
    <w:p>
      <w:pPr>
        <w:bidi w:val="0"/>
        <w:rPr>
          <w:lang w:eastAsia="zh-CN"/>
        </w:rPr>
      </w:pPr>
    </w:p>
    <w:p/>
    <w:p>
      <w:pPr>
        <w:tabs>
          <w:tab w:val="left" w:pos="6300"/>
        </w:tabs>
        <w:spacing w:line="440" w:lineRule="exact"/>
        <w:ind w:firstLine="560" w:firstLineChars="200"/>
        <w:rPr>
          <w:rFonts w:ascii="宋体" w:hAnsi="宋体" w:cs="宋体"/>
          <w:szCs w:val="28"/>
        </w:rPr>
      </w:pPr>
      <w:r>
        <w:rPr>
          <w:rFonts w:ascii="宋体" w:hAnsi="宋体" w:cs="宋体"/>
          <w:szCs w:val="28"/>
        </w:rPr>
        <w:t>（</w:t>
      </w:r>
      <w:r>
        <w:rPr>
          <w:rFonts w:hint="eastAsia" w:ascii="宋体" w:hAnsi="宋体" w:cs="宋体"/>
          <w:szCs w:val="28"/>
          <w:lang w:val="en-US" w:eastAsia="zh-CN"/>
        </w:rPr>
        <w:t>七</w:t>
      </w:r>
      <w:r>
        <w:rPr>
          <w:rFonts w:ascii="宋体" w:hAnsi="宋体" w:cs="宋体"/>
          <w:szCs w:val="28"/>
        </w:rPr>
        <w:t>）税务登记证（副本）复印件和社会保险缴纳证明材料</w:t>
      </w:r>
    </w:p>
    <w:p>
      <w:pPr>
        <w:tabs>
          <w:tab w:val="left" w:pos="6300"/>
        </w:tabs>
        <w:spacing w:line="440" w:lineRule="exact"/>
        <w:ind w:firstLine="480" w:firstLineChars="200"/>
        <w:rPr>
          <w:rFonts w:ascii="宋体" w:hAnsi="宋体" w:cs="宋体"/>
          <w:sz w:val="24"/>
          <w:szCs w:val="24"/>
        </w:rPr>
      </w:pPr>
      <w:r>
        <w:rPr>
          <w:rFonts w:ascii="宋体" w:hAnsi="宋体" w:cs="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40" w:lineRule="exact"/>
        <w:ind w:firstLine="560" w:firstLineChars="200"/>
        <w:rPr>
          <w:rFonts w:ascii="宋体" w:hAnsi="宋体" w:cs="宋体"/>
          <w:sz w:val="24"/>
        </w:rPr>
      </w:pPr>
      <w:r>
        <w:rPr>
          <w:rFonts w:hint="eastAsia" w:ascii="宋体" w:hAnsi="宋体" w:cs="宋体"/>
          <w:szCs w:val="28"/>
        </w:rPr>
        <w:t>（</w:t>
      </w:r>
      <w:r>
        <w:rPr>
          <w:rFonts w:hint="eastAsia" w:ascii="宋体" w:hAnsi="宋体" w:cs="宋体"/>
          <w:szCs w:val="28"/>
          <w:lang w:val="en-US" w:eastAsia="zh-CN"/>
        </w:rPr>
        <w:t>八</w:t>
      </w:r>
      <w:r>
        <w:rPr>
          <w:rFonts w:hint="eastAsia" w:ascii="宋体" w:hAnsi="宋体" w:cs="宋体"/>
          <w:szCs w:val="28"/>
        </w:rPr>
        <w:t>）投标保证金缴纳证明</w:t>
      </w:r>
    </w:p>
    <w:p>
      <w:pPr>
        <w:spacing w:line="440" w:lineRule="exact"/>
        <w:ind w:firstLine="480" w:firstLineChars="200"/>
        <w:rPr>
          <w:rFonts w:ascii="仿宋_GB2312" w:hAnsi="仿宋_GB2312" w:eastAsia="仿宋_GB2312" w:cs="仿宋_GB2312"/>
          <w:sz w:val="24"/>
          <w:szCs w:val="24"/>
        </w:rPr>
      </w:pPr>
    </w:p>
    <w:p>
      <w:pPr>
        <w:tabs>
          <w:tab w:val="left" w:pos="6300"/>
        </w:tabs>
        <w:spacing w:line="440" w:lineRule="exact"/>
        <w:ind w:firstLine="480" w:firstLineChars="200"/>
        <w:rPr>
          <w:rFonts w:ascii="宋体" w:hAnsi="宋体" w:cs="宋体"/>
          <w:sz w:val="24"/>
          <w:szCs w:val="24"/>
        </w:rPr>
      </w:pPr>
      <w:r>
        <w:rPr>
          <w:rFonts w:ascii="宋体" w:hAnsi="宋体" w:cs="宋体"/>
          <w:sz w:val="24"/>
          <w:szCs w:val="24"/>
        </w:rPr>
        <w:t>说明：供应商按“多证合一”登记制度办理营业执照的，组织机构代码证和税务登记证以供应商所提供的营业执照（副本）复印件为准。</w:t>
      </w: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tabs>
          <w:tab w:val="left" w:pos="6300"/>
        </w:tabs>
        <w:spacing w:line="440" w:lineRule="exact"/>
        <w:ind w:firstLine="560" w:firstLineChars="200"/>
        <w:rPr>
          <w:rFonts w:ascii="宋体" w:hAnsi="宋体" w:cs="宋体"/>
        </w:rPr>
      </w:pPr>
    </w:p>
    <w:p>
      <w:pPr>
        <w:pStyle w:val="29"/>
        <w:spacing w:line="440" w:lineRule="exact"/>
        <w:ind w:left="1680" w:firstLine="560" w:firstLineChars="200"/>
      </w:pPr>
    </w:p>
    <w:p>
      <w:pPr>
        <w:tabs>
          <w:tab w:val="left" w:pos="6300"/>
        </w:tabs>
        <w:spacing w:line="440" w:lineRule="exact"/>
        <w:ind w:firstLine="560" w:firstLineChars="200"/>
        <w:rPr>
          <w:rFonts w:ascii="宋体" w:hAnsi="宋体" w:cs="宋体"/>
        </w:rPr>
      </w:pPr>
    </w:p>
    <w:p>
      <w:pPr>
        <w:bidi w:val="0"/>
        <w:rPr>
          <w:lang w:eastAsia="zh-CN"/>
        </w:rPr>
      </w:pPr>
    </w:p>
    <w:p>
      <w:pPr>
        <w:bidi w:val="0"/>
      </w:pPr>
    </w:p>
    <w:p>
      <w:pPr>
        <w:bidi w:val="0"/>
        <w:rPr>
          <w:lang w:eastAsia="zh-CN"/>
        </w:rPr>
      </w:pPr>
    </w:p>
    <w:p>
      <w:pPr>
        <w:bidi w:val="0"/>
      </w:pPr>
    </w:p>
    <w:p>
      <w:pPr>
        <w:bidi w:val="0"/>
        <w:rPr>
          <w:lang w:eastAsia="zh-CN"/>
        </w:rPr>
      </w:pPr>
    </w:p>
    <w:p>
      <w:pPr>
        <w:bidi w:val="0"/>
      </w:pPr>
    </w:p>
    <w:p>
      <w:pPr>
        <w:bidi w:val="0"/>
        <w:rPr>
          <w:lang w:eastAsia="zh-CN"/>
        </w:rPr>
      </w:pPr>
    </w:p>
    <w:p>
      <w:pPr>
        <w:bidi w:val="0"/>
        <w:rPr>
          <w:lang w:eastAsia="zh-CN"/>
        </w:rPr>
      </w:pPr>
    </w:p>
    <w:p>
      <w:pPr>
        <w:bidi w:val="0"/>
        <w:rPr>
          <w:lang w:eastAsia="zh-CN"/>
        </w:rPr>
      </w:pPr>
    </w:p>
    <w:p>
      <w:pPr>
        <w:bidi w:val="0"/>
        <w:rPr>
          <w:lang w:eastAsia="zh-CN"/>
        </w:rPr>
      </w:pPr>
    </w:p>
    <w:p>
      <w:pPr>
        <w:bidi w:val="0"/>
      </w:pPr>
    </w:p>
    <w:p>
      <w:pPr>
        <w:bidi w:val="0"/>
        <w:rPr>
          <w:lang w:eastAsia="zh-CN"/>
        </w:rPr>
      </w:pPr>
    </w:p>
    <w:p>
      <w:pPr>
        <w:bidi w:val="0"/>
      </w:pPr>
    </w:p>
    <w:p>
      <w:pPr>
        <w:bidi w:val="0"/>
      </w:pPr>
    </w:p>
    <w:p>
      <w:pPr>
        <w:pStyle w:val="58"/>
      </w:pPr>
    </w:p>
    <w:p>
      <w:pPr>
        <w:tabs>
          <w:tab w:val="left" w:pos="6300"/>
        </w:tabs>
        <w:spacing w:line="440" w:lineRule="exact"/>
        <w:ind w:firstLine="562" w:firstLineChars="200"/>
        <w:rPr>
          <w:rFonts w:ascii="宋体" w:hAnsi="宋体" w:cs="宋体"/>
          <w:b/>
          <w:szCs w:val="28"/>
        </w:rPr>
      </w:pPr>
      <w:bookmarkStart w:id="92" w:name="_Toc24069"/>
      <w:r>
        <w:rPr>
          <w:rFonts w:ascii="宋体" w:hAnsi="宋体" w:cs="宋体"/>
          <w:b/>
          <w:szCs w:val="28"/>
        </w:rPr>
        <w:t>五、其他应提供的资料</w:t>
      </w:r>
      <w:bookmarkEnd w:id="92"/>
    </w:p>
    <w:p>
      <w:pPr>
        <w:spacing w:line="440" w:lineRule="exact"/>
        <w:ind w:firstLine="480" w:firstLineChars="200"/>
        <w:rPr>
          <w:rFonts w:ascii="宋体" w:hAnsi="宋体" w:cs="宋体"/>
          <w:szCs w:val="28"/>
        </w:rPr>
      </w:pPr>
      <w:r>
        <w:rPr>
          <w:rFonts w:hint="eastAsia" w:ascii="宋体" w:hAnsi="宋体" w:cs="宋体"/>
          <w:sz w:val="24"/>
          <w:szCs w:val="24"/>
        </w:rPr>
        <w:t>（一）</w:t>
      </w:r>
      <w:r>
        <w:rPr>
          <w:rFonts w:ascii="宋体" w:hAnsi="宋体" w:cs="宋体"/>
          <w:szCs w:val="28"/>
        </w:rPr>
        <w:t>其他资料</w:t>
      </w:r>
    </w:p>
    <w:p>
      <w:pPr>
        <w:spacing w:line="440" w:lineRule="exact"/>
        <w:ind w:firstLine="480" w:firstLineChars="200"/>
        <w:rPr>
          <w:rFonts w:ascii="宋体" w:hAnsi="宋体" w:cs="宋体"/>
          <w:sz w:val="24"/>
        </w:rPr>
      </w:pPr>
      <w:r>
        <w:rPr>
          <w:rFonts w:ascii="宋体" w:hAnsi="宋体" w:cs="宋体"/>
          <w:sz w:val="24"/>
        </w:rPr>
        <w:t>其他与项目有关的资料（自附）：供应商总体情况介绍、其他与本项目有关的资料等。</w:t>
      </w:r>
    </w:p>
    <w:p>
      <w:pPr>
        <w:spacing w:line="440" w:lineRule="exact"/>
        <w:ind w:firstLine="480" w:firstLineChars="200"/>
        <w:jc w:val="center"/>
        <w:rPr>
          <w:rFonts w:ascii="宋体" w:hAnsi="宋体" w:cs="宋体"/>
          <w:sz w:val="24"/>
        </w:rPr>
      </w:pPr>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pStyle w:val="29"/>
        <w:ind w:left="1680"/>
        <w:rPr>
          <w:rFonts w:eastAsiaTheme="minorEastAsia"/>
          <w:lang w:eastAsia="zh-CN"/>
        </w:rPr>
      </w:pPr>
    </w:p>
    <w:p/>
    <w:p>
      <w:pPr>
        <w:spacing w:line="440" w:lineRule="exact"/>
        <w:ind w:firstLine="480" w:firstLineChars="200"/>
        <w:jc w:val="center"/>
        <w:rPr>
          <w:rFonts w:ascii="宋体" w:hAnsi="宋体" w:cs="宋体"/>
        </w:rPr>
      </w:pPr>
      <w:r>
        <w:rPr>
          <w:rFonts w:ascii="宋体" w:hAnsi="宋体" w:cs="宋体"/>
          <w:sz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文鼎粗黑">
    <w:altName w:val="新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E04FF"/>
    <w:multiLevelType w:val="singleLevel"/>
    <w:tmpl w:val="324E04FF"/>
    <w:lvl w:ilvl="0" w:tentative="0">
      <w:start w:val="3"/>
      <w:numFmt w:val="chineseCounting"/>
      <w:suff w:val="nothing"/>
      <w:lvlText w:val="（%1）"/>
      <w:lvlJc w:val="left"/>
      <w:rPr>
        <w:rFonts w:hint="eastAsia"/>
      </w:rPr>
    </w:lvl>
  </w:abstractNum>
  <w:abstractNum w:abstractNumId="1">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204"/>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FF"/>
    <w:rsid w:val="000013A9"/>
    <w:rsid w:val="00001844"/>
    <w:rsid w:val="000027F9"/>
    <w:rsid w:val="00003626"/>
    <w:rsid w:val="000040DE"/>
    <w:rsid w:val="00004A82"/>
    <w:rsid w:val="00004AEF"/>
    <w:rsid w:val="000051B4"/>
    <w:rsid w:val="000075E8"/>
    <w:rsid w:val="00010587"/>
    <w:rsid w:val="00010863"/>
    <w:rsid w:val="00011B4B"/>
    <w:rsid w:val="00011FEA"/>
    <w:rsid w:val="00012472"/>
    <w:rsid w:val="000129F8"/>
    <w:rsid w:val="00013AC4"/>
    <w:rsid w:val="00013DA9"/>
    <w:rsid w:val="0001493C"/>
    <w:rsid w:val="000153CE"/>
    <w:rsid w:val="00015DBA"/>
    <w:rsid w:val="00016768"/>
    <w:rsid w:val="00016869"/>
    <w:rsid w:val="00016B79"/>
    <w:rsid w:val="00016FEA"/>
    <w:rsid w:val="0001720D"/>
    <w:rsid w:val="00017816"/>
    <w:rsid w:val="00017D63"/>
    <w:rsid w:val="00021864"/>
    <w:rsid w:val="00021B50"/>
    <w:rsid w:val="00022D38"/>
    <w:rsid w:val="000243E6"/>
    <w:rsid w:val="000261BA"/>
    <w:rsid w:val="00026511"/>
    <w:rsid w:val="00026790"/>
    <w:rsid w:val="000267AB"/>
    <w:rsid w:val="000272D3"/>
    <w:rsid w:val="000304A7"/>
    <w:rsid w:val="000304DB"/>
    <w:rsid w:val="000305DC"/>
    <w:rsid w:val="000319A1"/>
    <w:rsid w:val="0003209E"/>
    <w:rsid w:val="00032A2F"/>
    <w:rsid w:val="00032ACA"/>
    <w:rsid w:val="00033644"/>
    <w:rsid w:val="00033B83"/>
    <w:rsid w:val="00035878"/>
    <w:rsid w:val="0003632F"/>
    <w:rsid w:val="00036F3E"/>
    <w:rsid w:val="00040B37"/>
    <w:rsid w:val="00041A00"/>
    <w:rsid w:val="00041DFC"/>
    <w:rsid w:val="00043171"/>
    <w:rsid w:val="000443E2"/>
    <w:rsid w:val="000472CF"/>
    <w:rsid w:val="0004739C"/>
    <w:rsid w:val="0004754E"/>
    <w:rsid w:val="000503CB"/>
    <w:rsid w:val="00050746"/>
    <w:rsid w:val="00050A4F"/>
    <w:rsid w:val="00051484"/>
    <w:rsid w:val="00051D33"/>
    <w:rsid w:val="00052363"/>
    <w:rsid w:val="0005298B"/>
    <w:rsid w:val="0005353E"/>
    <w:rsid w:val="0005417C"/>
    <w:rsid w:val="00054428"/>
    <w:rsid w:val="00054D01"/>
    <w:rsid w:val="0005573A"/>
    <w:rsid w:val="0005633B"/>
    <w:rsid w:val="0005698C"/>
    <w:rsid w:val="000576E1"/>
    <w:rsid w:val="00057999"/>
    <w:rsid w:val="00057D80"/>
    <w:rsid w:val="0006162F"/>
    <w:rsid w:val="000619AC"/>
    <w:rsid w:val="00061CBF"/>
    <w:rsid w:val="00061E49"/>
    <w:rsid w:val="0006259F"/>
    <w:rsid w:val="0006394F"/>
    <w:rsid w:val="00063981"/>
    <w:rsid w:val="00066065"/>
    <w:rsid w:val="000662EA"/>
    <w:rsid w:val="00067137"/>
    <w:rsid w:val="00071A2E"/>
    <w:rsid w:val="00074A00"/>
    <w:rsid w:val="00074D43"/>
    <w:rsid w:val="00075E55"/>
    <w:rsid w:val="00076437"/>
    <w:rsid w:val="000768B5"/>
    <w:rsid w:val="0007748F"/>
    <w:rsid w:val="000778C6"/>
    <w:rsid w:val="00082B3D"/>
    <w:rsid w:val="0008306B"/>
    <w:rsid w:val="00083511"/>
    <w:rsid w:val="000909CF"/>
    <w:rsid w:val="00090C5A"/>
    <w:rsid w:val="0009140F"/>
    <w:rsid w:val="00091B1C"/>
    <w:rsid w:val="00091BAE"/>
    <w:rsid w:val="00091D22"/>
    <w:rsid w:val="00092258"/>
    <w:rsid w:val="000927B1"/>
    <w:rsid w:val="0009328D"/>
    <w:rsid w:val="00093A92"/>
    <w:rsid w:val="00093BF0"/>
    <w:rsid w:val="0009495E"/>
    <w:rsid w:val="00096617"/>
    <w:rsid w:val="000967D1"/>
    <w:rsid w:val="00096DCF"/>
    <w:rsid w:val="00097049"/>
    <w:rsid w:val="00097CA9"/>
    <w:rsid w:val="00097F56"/>
    <w:rsid w:val="000A164E"/>
    <w:rsid w:val="000A19DA"/>
    <w:rsid w:val="000A2A15"/>
    <w:rsid w:val="000A3057"/>
    <w:rsid w:val="000A318F"/>
    <w:rsid w:val="000A3195"/>
    <w:rsid w:val="000A33D8"/>
    <w:rsid w:val="000A362F"/>
    <w:rsid w:val="000A4939"/>
    <w:rsid w:val="000A637A"/>
    <w:rsid w:val="000B1068"/>
    <w:rsid w:val="000B1FC8"/>
    <w:rsid w:val="000B2308"/>
    <w:rsid w:val="000B2681"/>
    <w:rsid w:val="000B3059"/>
    <w:rsid w:val="000B42F4"/>
    <w:rsid w:val="000B439B"/>
    <w:rsid w:val="000B7377"/>
    <w:rsid w:val="000B7F54"/>
    <w:rsid w:val="000C039E"/>
    <w:rsid w:val="000C08C1"/>
    <w:rsid w:val="000C0C60"/>
    <w:rsid w:val="000C0E34"/>
    <w:rsid w:val="000C2733"/>
    <w:rsid w:val="000C2BF8"/>
    <w:rsid w:val="000C304C"/>
    <w:rsid w:val="000C3096"/>
    <w:rsid w:val="000C3A11"/>
    <w:rsid w:val="000C6C4D"/>
    <w:rsid w:val="000C6D89"/>
    <w:rsid w:val="000D02E3"/>
    <w:rsid w:val="000D1BB7"/>
    <w:rsid w:val="000D2360"/>
    <w:rsid w:val="000D2631"/>
    <w:rsid w:val="000D27FD"/>
    <w:rsid w:val="000D3584"/>
    <w:rsid w:val="000D3ADD"/>
    <w:rsid w:val="000D4BCE"/>
    <w:rsid w:val="000D4D4A"/>
    <w:rsid w:val="000D5EC0"/>
    <w:rsid w:val="000D67ED"/>
    <w:rsid w:val="000D6CE7"/>
    <w:rsid w:val="000D6E75"/>
    <w:rsid w:val="000D6F5E"/>
    <w:rsid w:val="000D7295"/>
    <w:rsid w:val="000D776F"/>
    <w:rsid w:val="000D77DA"/>
    <w:rsid w:val="000E01C9"/>
    <w:rsid w:val="000E0DD7"/>
    <w:rsid w:val="000E1ECA"/>
    <w:rsid w:val="000E2044"/>
    <w:rsid w:val="000E3259"/>
    <w:rsid w:val="000E32B1"/>
    <w:rsid w:val="000E337E"/>
    <w:rsid w:val="000E396E"/>
    <w:rsid w:val="000E3FA3"/>
    <w:rsid w:val="000E58E8"/>
    <w:rsid w:val="000E59A4"/>
    <w:rsid w:val="000E6239"/>
    <w:rsid w:val="000E69D5"/>
    <w:rsid w:val="000E7A26"/>
    <w:rsid w:val="000E7DEC"/>
    <w:rsid w:val="000F0C31"/>
    <w:rsid w:val="000F1E38"/>
    <w:rsid w:val="000F2E5F"/>
    <w:rsid w:val="000F43BC"/>
    <w:rsid w:val="000F56CA"/>
    <w:rsid w:val="000F6EC5"/>
    <w:rsid w:val="000F72BB"/>
    <w:rsid w:val="000F7671"/>
    <w:rsid w:val="000F7BA4"/>
    <w:rsid w:val="000F7DBF"/>
    <w:rsid w:val="0010014A"/>
    <w:rsid w:val="00100639"/>
    <w:rsid w:val="0010088E"/>
    <w:rsid w:val="00101761"/>
    <w:rsid w:val="001028FD"/>
    <w:rsid w:val="00102C7B"/>
    <w:rsid w:val="0010393A"/>
    <w:rsid w:val="00104FA8"/>
    <w:rsid w:val="00105638"/>
    <w:rsid w:val="00112077"/>
    <w:rsid w:val="0011242E"/>
    <w:rsid w:val="0011262B"/>
    <w:rsid w:val="001126F3"/>
    <w:rsid w:val="00112C1E"/>
    <w:rsid w:val="00113763"/>
    <w:rsid w:val="00114CD1"/>
    <w:rsid w:val="00114CFE"/>
    <w:rsid w:val="00115337"/>
    <w:rsid w:val="0011568E"/>
    <w:rsid w:val="0011657E"/>
    <w:rsid w:val="0011683E"/>
    <w:rsid w:val="00116856"/>
    <w:rsid w:val="00116A4A"/>
    <w:rsid w:val="00116C42"/>
    <w:rsid w:val="00117009"/>
    <w:rsid w:val="00117074"/>
    <w:rsid w:val="00117778"/>
    <w:rsid w:val="0011780F"/>
    <w:rsid w:val="00120259"/>
    <w:rsid w:val="00120CA2"/>
    <w:rsid w:val="0012214A"/>
    <w:rsid w:val="001222E4"/>
    <w:rsid w:val="0012237D"/>
    <w:rsid w:val="0012248D"/>
    <w:rsid w:val="00122F9D"/>
    <w:rsid w:val="00124058"/>
    <w:rsid w:val="00124A3E"/>
    <w:rsid w:val="001266BF"/>
    <w:rsid w:val="001276DD"/>
    <w:rsid w:val="00127CF8"/>
    <w:rsid w:val="00131AB1"/>
    <w:rsid w:val="00132E57"/>
    <w:rsid w:val="00133CB1"/>
    <w:rsid w:val="00133D16"/>
    <w:rsid w:val="00133D6B"/>
    <w:rsid w:val="00134037"/>
    <w:rsid w:val="001342AC"/>
    <w:rsid w:val="001346C8"/>
    <w:rsid w:val="001359F4"/>
    <w:rsid w:val="00136F23"/>
    <w:rsid w:val="00140827"/>
    <w:rsid w:val="00143C4A"/>
    <w:rsid w:val="00144CA9"/>
    <w:rsid w:val="00144FFC"/>
    <w:rsid w:val="0014546C"/>
    <w:rsid w:val="001464F9"/>
    <w:rsid w:val="001470BC"/>
    <w:rsid w:val="00147FB4"/>
    <w:rsid w:val="0015011C"/>
    <w:rsid w:val="0015033B"/>
    <w:rsid w:val="00150429"/>
    <w:rsid w:val="00151109"/>
    <w:rsid w:val="00151765"/>
    <w:rsid w:val="00152B00"/>
    <w:rsid w:val="00153BAE"/>
    <w:rsid w:val="00153C91"/>
    <w:rsid w:val="00153DAD"/>
    <w:rsid w:val="00153F67"/>
    <w:rsid w:val="00154CE5"/>
    <w:rsid w:val="00155FBA"/>
    <w:rsid w:val="00157E36"/>
    <w:rsid w:val="001616FE"/>
    <w:rsid w:val="001629F8"/>
    <w:rsid w:val="001638B5"/>
    <w:rsid w:val="0016566B"/>
    <w:rsid w:val="001656A7"/>
    <w:rsid w:val="00165925"/>
    <w:rsid w:val="00167AF3"/>
    <w:rsid w:val="001703E5"/>
    <w:rsid w:val="00170DB7"/>
    <w:rsid w:val="00171E05"/>
    <w:rsid w:val="001726C5"/>
    <w:rsid w:val="00172A27"/>
    <w:rsid w:val="001769A7"/>
    <w:rsid w:val="00176E68"/>
    <w:rsid w:val="00180666"/>
    <w:rsid w:val="00180ACB"/>
    <w:rsid w:val="00181353"/>
    <w:rsid w:val="00182199"/>
    <w:rsid w:val="00183574"/>
    <w:rsid w:val="00183B60"/>
    <w:rsid w:val="00184320"/>
    <w:rsid w:val="00184631"/>
    <w:rsid w:val="0018480E"/>
    <w:rsid w:val="001857CB"/>
    <w:rsid w:val="001858BA"/>
    <w:rsid w:val="00186623"/>
    <w:rsid w:val="00186813"/>
    <w:rsid w:val="001879FD"/>
    <w:rsid w:val="001903D6"/>
    <w:rsid w:val="00191EF7"/>
    <w:rsid w:val="00193159"/>
    <w:rsid w:val="0019332F"/>
    <w:rsid w:val="00194DFC"/>
    <w:rsid w:val="0019529F"/>
    <w:rsid w:val="0019571D"/>
    <w:rsid w:val="00195E32"/>
    <w:rsid w:val="001969BF"/>
    <w:rsid w:val="00196FC1"/>
    <w:rsid w:val="001A0536"/>
    <w:rsid w:val="001A1C86"/>
    <w:rsid w:val="001A22C8"/>
    <w:rsid w:val="001A3136"/>
    <w:rsid w:val="001A3473"/>
    <w:rsid w:val="001A3703"/>
    <w:rsid w:val="001A39D1"/>
    <w:rsid w:val="001A3F9B"/>
    <w:rsid w:val="001A574A"/>
    <w:rsid w:val="001A6586"/>
    <w:rsid w:val="001A6DCC"/>
    <w:rsid w:val="001A77B1"/>
    <w:rsid w:val="001B0396"/>
    <w:rsid w:val="001B0BA9"/>
    <w:rsid w:val="001B132F"/>
    <w:rsid w:val="001B1400"/>
    <w:rsid w:val="001B194E"/>
    <w:rsid w:val="001B3C39"/>
    <w:rsid w:val="001B3DBD"/>
    <w:rsid w:val="001B4377"/>
    <w:rsid w:val="001B4434"/>
    <w:rsid w:val="001B50EF"/>
    <w:rsid w:val="001B53D3"/>
    <w:rsid w:val="001B73BA"/>
    <w:rsid w:val="001C07E3"/>
    <w:rsid w:val="001C0B5D"/>
    <w:rsid w:val="001C0CA7"/>
    <w:rsid w:val="001C1D68"/>
    <w:rsid w:val="001C24C8"/>
    <w:rsid w:val="001C283C"/>
    <w:rsid w:val="001C287D"/>
    <w:rsid w:val="001C28EE"/>
    <w:rsid w:val="001C2F4C"/>
    <w:rsid w:val="001C3389"/>
    <w:rsid w:val="001C33BF"/>
    <w:rsid w:val="001C451C"/>
    <w:rsid w:val="001C49D7"/>
    <w:rsid w:val="001C4B6A"/>
    <w:rsid w:val="001C5594"/>
    <w:rsid w:val="001C5A4D"/>
    <w:rsid w:val="001C7A66"/>
    <w:rsid w:val="001C7A7C"/>
    <w:rsid w:val="001D0DF7"/>
    <w:rsid w:val="001D2321"/>
    <w:rsid w:val="001D249F"/>
    <w:rsid w:val="001D281C"/>
    <w:rsid w:val="001D2DCD"/>
    <w:rsid w:val="001D2ED5"/>
    <w:rsid w:val="001D3682"/>
    <w:rsid w:val="001D3B41"/>
    <w:rsid w:val="001D4224"/>
    <w:rsid w:val="001D5055"/>
    <w:rsid w:val="001D5501"/>
    <w:rsid w:val="001D5BC6"/>
    <w:rsid w:val="001D6234"/>
    <w:rsid w:val="001D630C"/>
    <w:rsid w:val="001D6386"/>
    <w:rsid w:val="001D689E"/>
    <w:rsid w:val="001E010E"/>
    <w:rsid w:val="001E03F1"/>
    <w:rsid w:val="001E08E2"/>
    <w:rsid w:val="001E1CA9"/>
    <w:rsid w:val="001E1CD0"/>
    <w:rsid w:val="001E201B"/>
    <w:rsid w:val="001E3B33"/>
    <w:rsid w:val="001E4464"/>
    <w:rsid w:val="001E4B7D"/>
    <w:rsid w:val="001E4DCB"/>
    <w:rsid w:val="001E50D4"/>
    <w:rsid w:val="001E5CAC"/>
    <w:rsid w:val="001E5F8F"/>
    <w:rsid w:val="001E64A9"/>
    <w:rsid w:val="001E6841"/>
    <w:rsid w:val="001E6BCD"/>
    <w:rsid w:val="001E725F"/>
    <w:rsid w:val="001F1557"/>
    <w:rsid w:val="001F1AF7"/>
    <w:rsid w:val="001F2819"/>
    <w:rsid w:val="001F2F84"/>
    <w:rsid w:val="001F2FB0"/>
    <w:rsid w:val="001F4964"/>
    <w:rsid w:val="001F5E13"/>
    <w:rsid w:val="001F680A"/>
    <w:rsid w:val="001F68E8"/>
    <w:rsid w:val="001F7063"/>
    <w:rsid w:val="001F7E2D"/>
    <w:rsid w:val="00200459"/>
    <w:rsid w:val="00201FAC"/>
    <w:rsid w:val="002022E2"/>
    <w:rsid w:val="00202B04"/>
    <w:rsid w:val="00203052"/>
    <w:rsid w:val="00203747"/>
    <w:rsid w:val="00203B06"/>
    <w:rsid w:val="002040C5"/>
    <w:rsid w:val="0020453C"/>
    <w:rsid w:val="002047D9"/>
    <w:rsid w:val="00204936"/>
    <w:rsid w:val="00204FFE"/>
    <w:rsid w:val="00206071"/>
    <w:rsid w:val="002063A2"/>
    <w:rsid w:val="00206F37"/>
    <w:rsid w:val="002100EE"/>
    <w:rsid w:val="00211589"/>
    <w:rsid w:val="00211AD4"/>
    <w:rsid w:val="00213366"/>
    <w:rsid w:val="00213712"/>
    <w:rsid w:val="00213AA9"/>
    <w:rsid w:val="00214D39"/>
    <w:rsid w:val="00215EC5"/>
    <w:rsid w:val="0021704D"/>
    <w:rsid w:val="00217415"/>
    <w:rsid w:val="00217D0B"/>
    <w:rsid w:val="00220AB2"/>
    <w:rsid w:val="00220D92"/>
    <w:rsid w:val="00222097"/>
    <w:rsid w:val="00222489"/>
    <w:rsid w:val="0022248D"/>
    <w:rsid w:val="002227DB"/>
    <w:rsid w:val="00222DA8"/>
    <w:rsid w:val="00223DAC"/>
    <w:rsid w:val="002242D4"/>
    <w:rsid w:val="00224489"/>
    <w:rsid w:val="00225BAD"/>
    <w:rsid w:val="00225C68"/>
    <w:rsid w:val="00225F94"/>
    <w:rsid w:val="0022675A"/>
    <w:rsid w:val="00227202"/>
    <w:rsid w:val="00227377"/>
    <w:rsid w:val="00227851"/>
    <w:rsid w:val="002309B3"/>
    <w:rsid w:val="00230EDD"/>
    <w:rsid w:val="00231780"/>
    <w:rsid w:val="00233261"/>
    <w:rsid w:val="002348E0"/>
    <w:rsid w:val="002358E9"/>
    <w:rsid w:val="002378AB"/>
    <w:rsid w:val="0023795D"/>
    <w:rsid w:val="00237B49"/>
    <w:rsid w:val="0024057D"/>
    <w:rsid w:val="002420AB"/>
    <w:rsid w:val="002433D2"/>
    <w:rsid w:val="002441C0"/>
    <w:rsid w:val="00245BFF"/>
    <w:rsid w:val="00246049"/>
    <w:rsid w:val="00247643"/>
    <w:rsid w:val="00250007"/>
    <w:rsid w:val="00254FFF"/>
    <w:rsid w:val="002557B0"/>
    <w:rsid w:val="002569F7"/>
    <w:rsid w:val="00256F52"/>
    <w:rsid w:val="002607A5"/>
    <w:rsid w:val="00262555"/>
    <w:rsid w:val="002643C1"/>
    <w:rsid w:val="0026457E"/>
    <w:rsid w:val="00265203"/>
    <w:rsid w:val="00265B03"/>
    <w:rsid w:val="00265CF5"/>
    <w:rsid w:val="0026748E"/>
    <w:rsid w:val="0027094B"/>
    <w:rsid w:val="00270BCC"/>
    <w:rsid w:val="00270CE5"/>
    <w:rsid w:val="0027199E"/>
    <w:rsid w:val="00271D3F"/>
    <w:rsid w:val="00271D47"/>
    <w:rsid w:val="00271F82"/>
    <w:rsid w:val="002721EA"/>
    <w:rsid w:val="00272C9D"/>
    <w:rsid w:val="00272CB7"/>
    <w:rsid w:val="00274088"/>
    <w:rsid w:val="002741F5"/>
    <w:rsid w:val="0027505A"/>
    <w:rsid w:val="0027754C"/>
    <w:rsid w:val="002778D1"/>
    <w:rsid w:val="002802E5"/>
    <w:rsid w:val="00280C0C"/>
    <w:rsid w:val="00280E8A"/>
    <w:rsid w:val="00281A61"/>
    <w:rsid w:val="00281B47"/>
    <w:rsid w:val="002826B5"/>
    <w:rsid w:val="00283AC6"/>
    <w:rsid w:val="00284CE4"/>
    <w:rsid w:val="00285164"/>
    <w:rsid w:val="00287B3C"/>
    <w:rsid w:val="00287EA2"/>
    <w:rsid w:val="00290E96"/>
    <w:rsid w:val="00291172"/>
    <w:rsid w:val="00291722"/>
    <w:rsid w:val="00292995"/>
    <w:rsid w:val="00293853"/>
    <w:rsid w:val="002939A3"/>
    <w:rsid w:val="0029502A"/>
    <w:rsid w:val="002953D6"/>
    <w:rsid w:val="002955B9"/>
    <w:rsid w:val="002968A2"/>
    <w:rsid w:val="00297460"/>
    <w:rsid w:val="00297465"/>
    <w:rsid w:val="00297BB0"/>
    <w:rsid w:val="002A087D"/>
    <w:rsid w:val="002A0E5B"/>
    <w:rsid w:val="002A2ED0"/>
    <w:rsid w:val="002A483A"/>
    <w:rsid w:val="002A4956"/>
    <w:rsid w:val="002A4EA4"/>
    <w:rsid w:val="002A669A"/>
    <w:rsid w:val="002A6710"/>
    <w:rsid w:val="002A6CA7"/>
    <w:rsid w:val="002A6CBC"/>
    <w:rsid w:val="002A7989"/>
    <w:rsid w:val="002B047C"/>
    <w:rsid w:val="002B06F7"/>
    <w:rsid w:val="002B1168"/>
    <w:rsid w:val="002B1C44"/>
    <w:rsid w:val="002B1FDA"/>
    <w:rsid w:val="002B3D6E"/>
    <w:rsid w:val="002B4F07"/>
    <w:rsid w:val="002B578B"/>
    <w:rsid w:val="002B5ECC"/>
    <w:rsid w:val="002B7904"/>
    <w:rsid w:val="002C1488"/>
    <w:rsid w:val="002C17A9"/>
    <w:rsid w:val="002C2507"/>
    <w:rsid w:val="002C293A"/>
    <w:rsid w:val="002C2E6E"/>
    <w:rsid w:val="002C2F24"/>
    <w:rsid w:val="002C3302"/>
    <w:rsid w:val="002C489E"/>
    <w:rsid w:val="002C48DA"/>
    <w:rsid w:val="002C4DAE"/>
    <w:rsid w:val="002C508B"/>
    <w:rsid w:val="002C5B21"/>
    <w:rsid w:val="002C6234"/>
    <w:rsid w:val="002C7268"/>
    <w:rsid w:val="002C7415"/>
    <w:rsid w:val="002C782D"/>
    <w:rsid w:val="002C7927"/>
    <w:rsid w:val="002C7BD7"/>
    <w:rsid w:val="002D0E5D"/>
    <w:rsid w:val="002D1A64"/>
    <w:rsid w:val="002D1D50"/>
    <w:rsid w:val="002D3C52"/>
    <w:rsid w:val="002D4621"/>
    <w:rsid w:val="002D4765"/>
    <w:rsid w:val="002D5835"/>
    <w:rsid w:val="002D5AC6"/>
    <w:rsid w:val="002D6998"/>
    <w:rsid w:val="002D7725"/>
    <w:rsid w:val="002E031A"/>
    <w:rsid w:val="002E0CC2"/>
    <w:rsid w:val="002E1967"/>
    <w:rsid w:val="002E3527"/>
    <w:rsid w:val="002E3710"/>
    <w:rsid w:val="002E4F5B"/>
    <w:rsid w:val="002E5287"/>
    <w:rsid w:val="002E5895"/>
    <w:rsid w:val="002E5C34"/>
    <w:rsid w:val="002E5CF9"/>
    <w:rsid w:val="002E5F47"/>
    <w:rsid w:val="002F0691"/>
    <w:rsid w:val="002F0ED3"/>
    <w:rsid w:val="002F0FEA"/>
    <w:rsid w:val="002F183C"/>
    <w:rsid w:val="002F1D45"/>
    <w:rsid w:val="002F1EED"/>
    <w:rsid w:val="002F3644"/>
    <w:rsid w:val="002F3DE3"/>
    <w:rsid w:val="002F3DF9"/>
    <w:rsid w:val="002F42AE"/>
    <w:rsid w:val="002F53B5"/>
    <w:rsid w:val="002F632E"/>
    <w:rsid w:val="002F6C73"/>
    <w:rsid w:val="003018B1"/>
    <w:rsid w:val="00301F1B"/>
    <w:rsid w:val="003021BC"/>
    <w:rsid w:val="00302E82"/>
    <w:rsid w:val="003035F0"/>
    <w:rsid w:val="00303743"/>
    <w:rsid w:val="0030436C"/>
    <w:rsid w:val="00304EDA"/>
    <w:rsid w:val="00304F32"/>
    <w:rsid w:val="003053C5"/>
    <w:rsid w:val="0030658B"/>
    <w:rsid w:val="00306E04"/>
    <w:rsid w:val="003072D8"/>
    <w:rsid w:val="00307A83"/>
    <w:rsid w:val="00307ADD"/>
    <w:rsid w:val="00310AF9"/>
    <w:rsid w:val="00310DAA"/>
    <w:rsid w:val="00310DC5"/>
    <w:rsid w:val="003124F2"/>
    <w:rsid w:val="00312E10"/>
    <w:rsid w:val="0031465E"/>
    <w:rsid w:val="003156F0"/>
    <w:rsid w:val="00315742"/>
    <w:rsid w:val="00315753"/>
    <w:rsid w:val="003159DD"/>
    <w:rsid w:val="00315BBB"/>
    <w:rsid w:val="0031604D"/>
    <w:rsid w:val="003163B3"/>
    <w:rsid w:val="003168D2"/>
    <w:rsid w:val="00317553"/>
    <w:rsid w:val="003200A4"/>
    <w:rsid w:val="003205CD"/>
    <w:rsid w:val="003207DE"/>
    <w:rsid w:val="00320A5A"/>
    <w:rsid w:val="00321E14"/>
    <w:rsid w:val="00322A7A"/>
    <w:rsid w:val="00322B04"/>
    <w:rsid w:val="00322FDE"/>
    <w:rsid w:val="00324146"/>
    <w:rsid w:val="003248C7"/>
    <w:rsid w:val="0032650C"/>
    <w:rsid w:val="00326C5B"/>
    <w:rsid w:val="00327ECA"/>
    <w:rsid w:val="00330E71"/>
    <w:rsid w:val="003318DB"/>
    <w:rsid w:val="00333894"/>
    <w:rsid w:val="003338D2"/>
    <w:rsid w:val="00335C31"/>
    <w:rsid w:val="00336122"/>
    <w:rsid w:val="003362D9"/>
    <w:rsid w:val="0033668F"/>
    <w:rsid w:val="00336F08"/>
    <w:rsid w:val="00341433"/>
    <w:rsid w:val="00341DEB"/>
    <w:rsid w:val="0034276A"/>
    <w:rsid w:val="00343684"/>
    <w:rsid w:val="00343765"/>
    <w:rsid w:val="00343C7A"/>
    <w:rsid w:val="003447C1"/>
    <w:rsid w:val="003455EA"/>
    <w:rsid w:val="00345752"/>
    <w:rsid w:val="00345AF6"/>
    <w:rsid w:val="00345D8B"/>
    <w:rsid w:val="00346711"/>
    <w:rsid w:val="00346A3D"/>
    <w:rsid w:val="00347B1C"/>
    <w:rsid w:val="00350604"/>
    <w:rsid w:val="00350C20"/>
    <w:rsid w:val="00351470"/>
    <w:rsid w:val="003521F0"/>
    <w:rsid w:val="00353154"/>
    <w:rsid w:val="00353654"/>
    <w:rsid w:val="00353E9F"/>
    <w:rsid w:val="00354352"/>
    <w:rsid w:val="00354737"/>
    <w:rsid w:val="003548FA"/>
    <w:rsid w:val="00354C56"/>
    <w:rsid w:val="003553F0"/>
    <w:rsid w:val="003554CF"/>
    <w:rsid w:val="00355A74"/>
    <w:rsid w:val="00356555"/>
    <w:rsid w:val="003568F7"/>
    <w:rsid w:val="003569AA"/>
    <w:rsid w:val="00356A05"/>
    <w:rsid w:val="00357080"/>
    <w:rsid w:val="00357D23"/>
    <w:rsid w:val="003607F0"/>
    <w:rsid w:val="00360B53"/>
    <w:rsid w:val="00361342"/>
    <w:rsid w:val="00361389"/>
    <w:rsid w:val="00361427"/>
    <w:rsid w:val="003622C5"/>
    <w:rsid w:val="0036458B"/>
    <w:rsid w:val="00364621"/>
    <w:rsid w:val="00364D4D"/>
    <w:rsid w:val="003675F3"/>
    <w:rsid w:val="0037010B"/>
    <w:rsid w:val="00370198"/>
    <w:rsid w:val="003712BC"/>
    <w:rsid w:val="00371D2F"/>
    <w:rsid w:val="00373122"/>
    <w:rsid w:val="00373241"/>
    <w:rsid w:val="003763CE"/>
    <w:rsid w:val="00377EE5"/>
    <w:rsid w:val="00380025"/>
    <w:rsid w:val="0038033A"/>
    <w:rsid w:val="003816ED"/>
    <w:rsid w:val="00382BF3"/>
    <w:rsid w:val="00384161"/>
    <w:rsid w:val="00384678"/>
    <w:rsid w:val="00384ABC"/>
    <w:rsid w:val="00384B86"/>
    <w:rsid w:val="00384D7D"/>
    <w:rsid w:val="00384ECB"/>
    <w:rsid w:val="00385031"/>
    <w:rsid w:val="003855EA"/>
    <w:rsid w:val="00387610"/>
    <w:rsid w:val="00387E08"/>
    <w:rsid w:val="00390D80"/>
    <w:rsid w:val="00390FA3"/>
    <w:rsid w:val="00394B0B"/>
    <w:rsid w:val="00395B48"/>
    <w:rsid w:val="00395C2F"/>
    <w:rsid w:val="00396003"/>
    <w:rsid w:val="0039627F"/>
    <w:rsid w:val="00396D13"/>
    <w:rsid w:val="003973D3"/>
    <w:rsid w:val="00397AB0"/>
    <w:rsid w:val="00397D78"/>
    <w:rsid w:val="00397F89"/>
    <w:rsid w:val="003A0892"/>
    <w:rsid w:val="003A15FB"/>
    <w:rsid w:val="003A422B"/>
    <w:rsid w:val="003A449E"/>
    <w:rsid w:val="003A5664"/>
    <w:rsid w:val="003A693B"/>
    <w:rsid w:val="003A7158"/>
    <w:rsid w:val="003A71F3"/>
    <w:rsid w:val="003B174D"/>
    <w:rsid w:val="003B19F5"/>
    <w:rsid w:val="003B2F10"/>
    <w:rsid w:val="003B5E66"/>
    <w:rsid w:val="003B63C2"/>
    <w:rsid w:val="003B6546"/>
    <w:rsid w:val="003B67D5"/>
    <w:rsid w:val="003B6F94"/>
    <w:rsid w:val="003C070B"/>
    <w:rsid w:val="003C0CEF"/>
    <w:rsid w:val="003C1673"/>
    <w:rsid w:val="003C2410"/>
    <w:rsid w:val="003C2BD5"/>
    <w:rsid w:val="003C3456"/>
    <w:rsid w:val="003C36C0"/>
    <w:rsid w:val="003C3FE4"/>
    <w:rsid w:val="003C46FF"/>
    <w:rsid w:val="003C5DDC"/>
    <w:rsid w:val="003C62CB"/>
    <w:rsid w:val="003C638C"/>
    <w:rsid w:val="003C730D"/>
    <w:rsid w:val="003D0E0A"/>
    <w:rsid w:val="003D3090"/>
    <w:rsid w:val="003D3B22"/>
    <w:rsid w:val="003D475A"/>
    <w:rsid w:val="003D5A04"/>
    <w:rsid w:val="003D5A3B"/>
    <w:rsid w:val="003D7B3D"/>
    <w:rsid w:val="003E03FC"/>
    <w:rsid w:val="003E04AC"/>
    <w:rsid w:val="003E0BBD"/>
    <w:rsid w:val="003E16DF"/>
    <w:rsid w:val="003E345F"/>
    <w:rsid w:val="003E4718"/>
    <w:rsid w:val="003E4CBD"/>
    <w:rsid w:val="003E5508"/>
    <w:rsid w:val="003E5AD0"/>
    <w:rsid w:val="003E5BF2"/>
    <w:rsid w:val="003E5ED6"/>
    <w:rsid w:val="003E620C"/>
    <w:rsid w:val="003E6936"/>
    <w:rsid w:val="003E6FE8"/>
    <w:rsid w:val="003E784B"/>
    <w:rsid w:val="003F0D98"/>
    <w:rsid w:val="003F29F0"/>
    <w:rsid w:val="003F2F0E"/>
    <w:rsid w:val="003F3FFF"/>
    <w:rsid w:val="003F451E"/>
    <w:rsid w:val="003F4939"/>
    <w:rsid w:val="003F5107"/>
    <w:rsid w:val="003F51E0"/>
    <w:rsid w:val="003F626F"/>
    <w:rsid w:val="003F7C9A"/>
    <w:rsid w:val="004005A7"/>
    <w:rsid w:val="0040122A"/>
    <w:rsid w:val="0040149D"/>
    <w:rsid w:val="00401983"/>
    <w:rsid w:val="00402B32"/>
    <w:rsid w:val="00403045"/>
    <w:rsid w:val="004037E0"/>
    <w:rsid w:val="00404992"/>
    <w:rsid w:val="004052BE"/>
    <w:rsid w:val="004058AB"/>
    <w:rsid w:val="00406DB6"/>
    <w:rsid w:val="00407028"/>
    <w:rsid w:val="00407EBF"/>
    <w:rsid w:val="004106D6"/>
    <w:rsid w:val="00410C93"/>
    <w:rsid w:val="00411B4A"/>
    <w:rsid w:val="00412051"/>
    <w:rsid w:val="004134DD"/>
    <w:rsid w:val="00414966"/>
    <w:rsid w:val="00414F45"/>
    <w:rsid w:val="00416856"/>
    <w:rsid w:val="00417E99"/>
    <w:rsid w:val="00417EBA"/>
    <w:rsid w:val="00420DB4"/>
    <w:rsid w:val="00421486"/>
    <w:rsid w:val="00421507"/>
    <w:rsid w:val="0042231C"/>
    <w:rsid w:val="00423BF0"/>
    <w:rsid w:val="00424D02"/>
    <w:rsid w:val="00425125"/>
    <w:rsid w:val="0042525A"/>
    <w:rsid w:val="004258C3"/>
    <w:rsid w:val="004275CB"/>
    <w:rsid w:val="00427A35"/>
    <w:rsid w:val="00427C88"/>
    <w:rsid w:val="00431FDB"/>
    <w:rsid w:val="00432641"/>
    <w:rsid w:val="00433674"/>
    <w:rsid w:val="004344C0"/>
    <w:rsid w:val="00434B07"/>
    <w:rsid w:val="00434F3F"/>
    <w:rsid w:val="004353A4"/>
    <w:rsid w:val="00440248"/>
    <w:rsid w:val="004403B9"/>
    <w:rsid w:val="004411DD"/>
    <w:rsid w:val="004412AA"/>
    <w:rsid w:val="00442525"/>
    <w:rsid w:val="00442FE5"/>
    <w:rsid w:val="00443CE6"/>
    <w:rsid w:val="00444300"/>
    <w:rsid w:val="0044585A"/>
    <w:rsid w:val="00445C70"/>
    <w:rsid w:val="00445F1C"/>
    <w:rsid w:val="00447236"/>
    <w:rsid w:val="004472F1"/>
    <w:rsid w:val="0045011C"/>
    <w:rsid w:val="00450880"/>
    <w:rsid w:val="00450975"/>
    <w:rsid w:val="00450DEB"/>
    <w:rsid w:val="0045259D"/>
    <w:rsid w:val="00452CB6"/>
    <w:rsid w:val="004537BF"/>
    <w:rsid w:val="00453811"/>
    <w:rsid w:val="00453B8F"/>
    <w:rsid w:val="00454026"/>
    <w:rsid w:val="00454D03"/>
    <w:rsid w:val="0045573F"/>
    <w:rsid w:val="00455AAE"/>
    <w:rsid w:val="0045624E"/>
    <w:rsid w:val="00456273"/>
    <w:rsid w:val="004562EF"/>
    <w:rsid w:val="00456EC1"/>
    <w:rsid w:val="00457597"/>
    <w:rsid w:val="00457A95"/>
    <w:rsid w:val="00460489"/>
    <w:rsid w:val="004606A7"/>
    <w:rsid w:val="004608C4"/>
    <w:rsid w:val="004608C7"/>
    <w:rsid w:val="00461E8E"/>
    <w:rsid w:val="0046239E"/>
    <w:rsid w:val="00462878"/>
    <w:rsid w:val="00462D60"/>
    <w:rsid w:val="00463869"/>
    <w:rsid w:val="00463F90"/>
    <w:rsid w:val="00464C1E"/>
    <w:rsid w:val="00465116"/>
    <w:rsid w:val="004655C1"/>
    <w:rsid w:val="00465B7A"/>
    <w:rsid w:val="0046673F"/>
    <w:rsid w:val="00466883"/>
    <w:rsid w:val="00466C9E"/>
    <w:rsid w:val="00466D45"/>
    <w:rsid w:val="0047028E"/>
    <w:rsid w:val="00470476"/>
    <w:rsid w:val="00470DE9"/>
    <w:rsid w:val="004714F8"/>
    <w:rsid w:val="00471887"/>
    <w:rsid w:val="00471D41"/>
    <w:rsid w:val="00471DB5"/>
    <w:rsid w:val="00472AA2"/>
    <w:rsid w:val="00472BF3"/>
    <w:rsid w:val="004730F5"/>
    <w:rsid w:val="00473A78"/>
    <w:rsid w:val="00473B39"/>
    <w:rsid w:val="00474138"/>
    <w:rsid w:val="0047448E"/>
    <w:rsid w:val="00475F18"/>
    <w:rsid w:val="00476865"/>
    <w:rsid w:val="004775CB"/>
    <w:rsid w:val="00482089"/>
    <w:rsid w:val="00483A49"/>
    <w:rsid w:val="00484047"/>
    <w:rsid w:val="004858D1"/>
    <w:rsid w:val="004859DA"/>
    <w:rsid w:val="00485CCA"/>
    <w:rsid w:val="00486373"/>
    <w:rsid w:val="0048758B"/>
    <w:rsid w:val="004915F4"/>
    <w:rsid w:val="00492145"/>
    <w:rsid w:val="004928A2"/>
    <w:rsid w:val="00493368"/>
    <w:rsid w:val="00493D41"/>
    <w:rsid w:val="00494FA7"/>
    <w:rsid w:val="004953EC"/>
    <w:rsid w:val="0049624B"/>
    <w:rsid w:val="00496B8A"/>
    <w:rsid w:val="004A0A6B"/>
    <w:rsid w:val="004A0D29"/>
    <w:rsid w:val="004A0DE1"/>
    <w:rsid w:val="004A2352"/>
    <w:rsid w:val="004A2410"/>
    <w:rsid w:val="004A27AC"/>
    <w:rsid w:val="004A3995"/>
    <w:rsid w:val="004A4415"/>
    <w:rsid w:val="004A45BA"/>
    <w:rsid w:val="004A56FC"/>
    <w:rsid w:val="004A61EB"/>
    <w:rsid w:val="004A77B3"/>
    <w:rsid w:val="004B1288"/>
    <w:rsid w:val="004B1504"/>
    <w:rsid w:val="004B1A1B"/>
    <w:rsid w:val="004B21B8"/>
    <w:rsid w:val="004B2638"/>
    <w:rsid w:val="004B35D0"/>
    <w:rsid w:val="004B4045"/>
    <w:rsid w:val="004B44A0"/>
    <w:rsid w:val="004B4BC6"/>
    <w:rsid w:val="004B4C05"/>
    <w:rsid w:val="004B519D"/>
    <w:rsid w:val="004B5748"/>
    <w:rsid w:val="004B5BE7"/>
    <w:rsid w:val="004B6F98"/>
    <w:rsid w:val="004B7C79"/>
    <w:rsid w:val="004B7FF3"/>
    <w:rsid w:val="004C07BA"/>
    <w:rsid w:val="004C1D3E"/>
    <w:rsid w:val="004C1DD0"/>
    <w:rsid w:val="004C2685"/>
    <w:rsid w:val="004C2AF5"/>
    <w:rsid w:val="004C3175"/>
    <w:rsid w:val="004C4041"/>
    <w:rsid w:val="004C53E6"/>
    <w:rsid w:val="004C5A99"/>
    <w:rsid w:val="004C64E4"/>
    <w:rsid w:val="004C64EF"/>
    <w:rsid w:val="004D18AF"/>
    <w:rsid w:val="004D1AD8"/>
    <w:rsid w:val="004D1DB0"/>
    <w:rsid w:val="004D1EAA"/>
    <w:rsid w:val="004D2334"/>
    <w:rsid w:val="004D2FFE"/>
    <w:rsid w:val="004D41FA"/>
    <w:rsid w:val="004D4FAD"/>
    <w:rsid w:val="004D54E0"/>
    <w:rsid w:val="004D5951"/>
    <w:rsid w:val="004D6CBB"/>
    <w:rsid w:val="004D7168"/>
    <w:rsid w:val="004E0C46"/>
    <w:rsid w:val="004E156F"/>
    <w:rsid w:val="004E2DB7"/>
    <w:rsid w:val="004E2F6E"/>
    <w:rsid w:val="004E550E"/>
    <w:rsid w:val="004E55DB"/>
    <w:rsid w:val="004E64C5"/>
    <w:rsid w:val="004E67C6"/>
    <w:rsid w:val="004E7093"/>
    <w:rsid w:val="004E79CB"/>
    <w:rsid w:val="004F0376"/>
    <w:rsid w:val="004F04A3"/>
    <w:rsid w:val="004F07BD"/>
    <w:rsid w:val="004F2F42"/>
    <w:rsid w:val="004F2FEB"/>
    <w:rsid w:val="004F460A"/>
    <w:rsid w:val="004F6999"/>
    <w:rsid w:val="004F6DC6"/>
    <w:rsid w:val="005004A8"/>
    <w:rsid w:val="00500F22"/>
    <w:rsid w:val="00502597"/>
    <w:rsid w:val="00502B2F"/>
    <w:rsid w:val="00503172"/>
    <w:rsid w:val="00504447"/>
    <w:rsid w:val="0050522E"/>
    <w:rsid w:val="00505DA2"/>
    <w:rsid w:val="00507241"/>
    <w:rsid w:val="00512D00"/>
    <w:rsid w:val="00512E50"/>
    <w:rsid w:val="00514179"/>
    <w:rsid w:val="00515E35"/>
    <w:rsid w:val="005164D4"/>
    <w:rsid w:val="00522EE8"/>
    <w:rsid w:val="00524851"/>
    <w:rsid w:val="00524E52"/>
    <w:rsid w:val="00526194"/>
    <w:rsid w:val="0053117C"/>
    <w:rsid w:val="00531D0C"/>
    <w:rsid w:val="00531D6C"/>
    <w:rsid w:val="0053219A"/>
    <w:rsid w:val="0053399B"/>
    <w:rsid w:val="0053555F"/>
    <w:rsid w:val="00537193"/>
    <w:rsid w:val="00537F49"/>
    <w:rsid w:val="005425DF"/>
    <w:rsid w:val="0054322F"/>
    <w:rsid w:val="0054387C"/>
    <w:rsid w:val="005444C6"/>
    <w:rsid w:val="00544BEA"/>
    <w:rsid w:val="0054500D"/>
    <w:rsid w:val="005460D5"/>
    <w:rsid w:val="00547A19"/>
    <w:rsid w:val="005507BD"/>
    <w:rsid w:val="00553CF0"/>
    <w:rsid w:val="005542FA"/>
    <w:rsid w:val="00554C2E"/>
    <w:rsid w:val="00554DDA"/>
    <w:rsid w:val="005562FD"/>
    <w:rsid w:val="0056073A"/>
    <w:rsid w:val="005613F8"/>
    <w:rsid w:val="005627FF"/>
    <w:rsid w:val="00562979"/>
    <w:rsid w:val="00562EFA"/>
    <w:rsid w:val="005630C0"/>
    <w:rsid w:val="005647C6"/>
    <w:rsid w:val="00565882"/>
    <w:rsid w:val="00566228"/>
    <w:rsid w:val="00566A85"/>
    <w:rsid w:val="0056784E"/>
    <w:rsid w:val="00567C92"/>
    <w:rsid w:val="00567CBE"/>
    <w:rsid w:val="00570C78"/>
    <w:rsid w:val="00570F09"/>
    <w:rsid w:val="005713A8"/>
    <w:rsid w:val="00571ED9"/>
    <w:rsid w:val="00572DE8"/>
    <w:rsid w:val="00573207"/>
    <w:rsid w:val="00573AE3"/>
    <w:rsid w:val="00574EED"/>
    <w:rsid w:val="00577527"/>
    <w:rsid w:val="005804ED"/>
    <w:rsid w:val="00583276"/>
    <w:rsid w:val="00583720"/>
    <w:rsid w:val="00585799"/>
    <w:rsid w:val="00585A2D"/>
    <w:rsid w:val="00585B7B"/>
    <w:rsid w:val="005877CE"/>
    <w:rsid w:val="005902D9"/>
    <w:rsid w:val="0059047E"/>
    <w:rsid w:val="00592741"/>
    <w:rsid w:val="0059489D"/>
    <w:rsid w:val="00595090"/>
    <w:rsid w:val="00595645"/>
    <w:rsid w:val="00595848"/>
    <w:rsid w:val="00596335"/>
    <w:rsid w:val="00596AB7"/>
    <w:rsid w:val="00597C75"/>
    <w:rsid w:val="005A0D71"/>
    <w:rsid w:val="005A1B5C"/>
    <w:rsid w:val="005A1EA7"/>
    <w:rsid w:val="005A2137"/>
    <w:rsid w:val="005A3189"/>
    <w:rsid w:val="005A4F1A"/>
    <w:rsid w:val="005A5606"/>
    <w:rsid w:val="005A63DC"/>
    <w:rsid w:val="005A7305"/>
    <w:rsid w:val="005A75D9"/>
    <w:rsid w:val="005A7971"/>
    <w:rsid w:val="005A7C6D"/>
    <w:rsid w:val="005B0724"/>
    <w:rsid w:val="005B12F0"/>
    <w:rsid w:val="005B1E46"/>
    <w:rsid w:val="005B2463"/>
    <w:rsid w:val="005B2EFF"/>
    <w:rsid w:val="005B3BDD"/>
    <w:rsid w:val="005B56CE"/>
    <w:rsid w:val="005B5D88"/>
    <w:rsid w:val="005B690A"/>
    <w:rsid w:val="005B754E"/>
    <w:rsid w:val="005C02CA"/>
    <w:rsid w:val="005C041E"/>
    <w:rsid w:val="005C0648"/>
    <w:rsid w:val="005C06FE"/>
    <w:rsid w:val="005C08BA"/>
    <w:rsid w:val="005C10C0"/>
    <w:rsid w:val="005C3F4B"/>
    <w:rsid w:val="005C42AC"/>
    <w:rsid w:val="005C4D74"/>
    <w:rsid w:val="005C4F84"/>
    <w:rsid w:val="005C5416"/>
    <w:rsid w:val="005C6494"/>
    <w:rsid w:val="005C67A0"/>
    <w:rsid w:val="005C7165"/>
    <w:rsid w:val="005C7230"/>
    <w:rsid w:val="005C7557"/>
    <w:rsid w:val="005D02EA"/>
    <w:rsid w:val="005D1090"/>
    <w:rsid w:val="005D247B"/>
    <w:rsid w:val="005D28F9"/>
    <w:rsid w:val="005D2917"/>
    <w:rsid w:val="005D2F33"/>
    <w:rsid w:val="005D37D0"/>
    <w:rsid w:val="005D51B1"/>
    <w:rsid w:val="005D703E"/>
    <w:rsid w:val="005D74BC"/>
    <w:rsid w:val="005D7ABA"/>
    <w:rsid w:val="005D7F69"/>
    <w:rsid w:val="005E01E3"/>
    <w:rsid w:val="005E0B7C"/>
    <w:rsid w:val="005E132F"/>
    <w:rsid w:val="005E221A"/>
    <w:rsid w:val="005E34B2"/>
    <w:rsid w:val="005E3CAE"/>
    <w:rsid w:val="005E413D"/>
    <w:rsid w:val="005E51DA"/>
    <w:rsid w:val="005E539D"/>
    <w:rsid w:val="005E5525"/>
    <w:rsid w:val="005E65B4"/>
    <w:rsid w:val="005F0A3B"/>
    <w:rsid w:val="005F15D1"/>
    <w:rsid w:val="005F25F9"/>
    <w:rsid w:val="005F2A85"/>
    <w:rsid w:val="005F2C9E"/>
    <w:rsid w:val="005F2E61"/>
    <w:rsid w:val="005F36E3"/>
    <w:rsid w:val="005F5D49"/>
    <w:rsid w:val="005F61C6"/>
    <w:rsid w:val="005F7801"/>
    <w:rsid w:val="0060003E"/>
    <w:rsid w:val="00600A9B"/>
    <w:rsid w:val="00600DF1"/>
    <w:rsid w:val="00601C89"/>
    <w:rsid w:val="006025E6"/>
    <w:rsid w:val="0060315D"/>
    <w:rsid w:val="00603746"/>
    <w:rsid w:val="00603E21"/>
    <w:rsid w:val="00604984"/>
    <w:rsid w:val="006057BE"/>
    <w:rsid w:val="006069FF"/>
    <w:rsid w:val="00606B32"/>
    <w:rsid w:val="006105F8"/>
    <w:rsid w:val="00611389"/>
    <w:rsid w:val="00611580"/>
    <w:rsid w:val="00611750"/>
    <w:rsid w:val="00611DDA"/>
    <w:rsid w:val="00611F66"/>
    <w:rsid w:val="00612181"/>
    <w:rsid w:val="00612253"/>
    <w:rsid w:val="006130EE"/>
    <w:rsid w:val="00613410"/>
    <w:rsid w:val="00613932"/>
    <w:rsid w:val="00613C30"/>
    <w:rsid w:val="006144CC"/>
    <w:rsid w:val="006145AE"/>
    <w:rsid w:val="00614DEB"/>
    <w:rsid w:val="006167BF"/>
    <w:rsid w:val="00617500"/>
    <w:rsid w:val="00617976"/>
    <w:rsid w:val="00617986"/>
    <w:rsid w:val="00620CE7"/>
    <w:rsid w:val="00622648"/>
    <w:rsid w:val="00622733"/>
    <w:rsid w:val="00623121"/>
    <w:rsid w:val="006246D1"/>
    <w:rsid w:val="00624AFF"/>
    <w:rsid w:val="00624BC2"/>
    <w:rsid w:val="00626E1A"/>
    <w:rsid w:val="00627729"/>
    <w:rsid w:val="006278F9"/>
    <w:rsid w:val="00627F21"/>
    <w:rsid w:val="00630A0B"/>
    <w:rsid w:val="00631117"/>
    <w:rsid w:val="0063162B"/>
    <w:rsid w:val="00632447"/>
    <w:rsid w:val="00633DBA"/>
    <w:rsid w:val="00634AA9"/>
    <w:rsid w:val="00635139"/>
    <w:rsid w:val="00635297"/>
    <w:rsid w:val="00635ACC"/>
    <w:rsid w:val="00637743"/>
    <w:rsid w:val="00637E6F"/>
    <w:rsid w:val="00637F19"/>
    <w:rsid w:val="00637FA4"/>
    <w:rsid w:val="00640078"/>
    <w:rsid w:val="00641C5B"/>
    <w:rsid w:val="00643074"/>
    <w:rsid w:val="00643775"/>
    <w:rsid w:val="00644D64"/>
    <w:rsid w:val="0064583B"/>
    <w:rsid w:val="006470C5"/>
    <w:rsid w:val="006471B7"/>
    <w:rsid w:val="00647C1C"/>
    <w:rsid w:val="00647F5E"/>
    <w:rsid w:val="00651127"/>
    <w:rsid w:val="006516FC"/>
    <w:rsid w:val="0065190C"/>
    <w:rsid w:val="00652C15"/>
    <w:rsid w:val="006542F1"/>
    <w:rsid w:val="0065458B"/>
    <w:rsid w:val="00654A48"/>
    <w:rsid w:val="0065574F"/>
    <w:rsid w:val="006558E4"/>
    <w:rsid w:val="0065651B"/>
    <w:rsid w:val="00656551"/>
    <w:rsid w:val="006606E9"/>
    <w:rsid w:val="00660773"/>
    <w:rsid w:val="00661769"/>
    <w:rsid w:val="00662495"/>
    <w:rsid w:val="0066278B"/>
    <w:rsid w:val="00663A6D"/>
    <w:rsid w:val="006642B7"/>
    <w:rsid w:val="0066453B"/>
    <w:rsid w:val="00664607"/>
    <w:rsid w:val="00670089"/>
    <w:rsid w:val="006700F5"/>
    <w:rsid w:val="00670BF3"/>
    <w:rsid w:val="00670C89"/>
    <w:rsid w:val="006711AE"/>
    <w:rsid w:val="0067121A"/>
    <w:rsid w:val="00671F37"/>
    <w:rsid w:val="00672214"/>
    <w:rsid w:val="00673658"/>
    <w:rsid w:val="00675762"/>
    <w:rsid w:val="006763DC"/>
    <w:rsid w:val="00676847"/>
    <w:rsid w:val="00676AB0"/>
    <w:rsid w:val="006803D5"/>
    <w:rsid w:val="00680AE4"/>
    <w:rsid w:val="00680FA4"/>
    <w:rsid w:val="006812B5"/>
    <w:rsid w:val="00682205"/>
    <w:rsid w:val="00682F72"/>
    <w:rsid w:val="0068486E"/>
    <w:rsid w:val="00684A4F"/>
    <w:rsid w:val="00684E51"/>
    <w:rsid w:val="00685167"/>
    <w:rsid w:val="00686861"/>
    <w:rsid w:val="00687005"/>
    <w:rsid w:val="006878D6"/>
    <w:rsid w:val="00687F40"/>
    <w:rsid w:val="0069040E"/>
    <w:rsid w:val="0069114A"/>
    <w:rsid w:val="00692040"/>
    <w:rsid w:val="00692385"/>
    <w:rsid w:val="006949F8"/>
    <w:rsid w:val="00695644"/>
    <w:rsid w:val="0069617C"/>
    <w:rsid w:val="006A013B"/>
    <w:rsid w:val="006A033F"/>
    <w:rsid w:val="006A100B"/>
    <w:rsid w:val="006A143A"/>
    <w:rsid w:val="006A3285"/>
    <w:rsid w:val="006A46CD"/>
    <w:rsid w:val="006A4987"/>
    <w:rsid w:val="006A4C56"/>
    <w:rsid w:val="006A4F18"/>
    <w:rsid w:val="006A504D"/>
    <w:rsid w:val="006A58AA"/>
    <w:rsid w:val="006A6383"/>
    <w:rsid w:val="006A6759"/>
    <w:rsid w:val="006A7402"/>
    <w:rsid w:val="006A7602"/>
    <w:rsid w:val="006B0567"/>
    <w:rsid w:val="006B0A70"/>
    <w:rsid w:val="006B1BC3"/>
    <w:rsid w:val="006B2A76"/>
    <w:rsid w:val="006B399F"/>
    <w:rsid w:val="006B41EC"/>
    <w:rsid w:val="006B47D0"/>
    <w:rsid w:val="006B5506"/>
    <w:rsid w:val="006B72DE"/>
    <w:rsid w:val="006C0454"/>
    <w:rsid w:val="006C085E"/>
    <w:rsid w:val="006C5FC1"/>
    <w:rsid w:val="006C70F0"/>
    <w:rsid w:val="006C7746"/>
    <w:rsid w:val="006D1AEB"/>
    <w:rsid w:val="006D1C46"/>
    <w:rsid w:val="006D2190"/>
    <w:rsid w:val="006D2EE4"/>
    <w:rsid w:val="006D345C"/>
    <w:rsid w:val="006D3630"/>
    <w:rsid w:val="006D3EB2"/>
    <w:rsid w:val="006D44E1"/>
    <w:rsid w:val="006D5951"/>
    <w:rsid w:val="006D5B10"/>
    <w:rsid w:val="006D62D0"/>
    <w:rsid w:val="006D62F5"/>
    <w:rsid w:val="006D6662"/>
    <w:rsid w:val="006D6BAF"/>
    <w:rsid w:val="006D7480"/>
    <w:rsid w:val="006D7BEE"/>
    <w:rsid w:val="006D7F42"/>
    <w:rsid w:val="006E0F13"/>
    <w:rsid w:val="006E14DD"/>
    <w:rsid w:val="006E1FCC"/>
    <w:rsid w:val="006E21FA"/>
    <w:rsid w:val="006E2227"/>
    <w:rsid w:val="006E2DE6"/>
    <w:rsid w:val="006E3CFD"/>
    <w:rsid w:val="006E3F85"/>
    <w:rsid w:val="006E477D"/>
    <w:rsid w:val="006E6314"/>
    <w:rsid w:val="006E6D5F"/>
    <w:rsid w:val="006F043A"/>
    <w:rsid w:val="006F0B49"/>
    <w:rsid w:val="006F0BFC"/>
    <w:rsid w:val="006F0FB7"/>
    <w:rsid w:val="006F183F"/>
    <w:rsid w:val="006F22EC"/>
    <w:rsid w:val="006F2568"/>
    <w:rsid w:val="006F2A18"/>
    <w:rsid w:val="006F4063"/>
    <w:rsid w:val="006F54D3"/>
    <w:rsid w:val="006F5925"/>
    <w:rsid w:val="006F5E40"/>
    <w:rsid w:val="006F777B"/>
    <w:rsid w:val="006F7D78"/>
    <w:rsid w:val="007004E9"/>
    <w:rsid w:val="00700F86"/>
    <w:rsid w:val="007020DC"/>
    <w:rsid w:val="00702516"/>
    <w:rsid w:val="00702EB0"/>
    <w:rsid w:val="00703C5C"/>
    <w:rsid w:val="00704488"/>
    <w:rsid w:val="00704D70"/>
    <w:rsid w:val="00704E5D"/>
    <w:rsid w:val="00705452"/>
    <w:rsid w:val="00705739"/>
    <w:rsid w:val="00705D10"/>
    <w:rsid w:val="007062DF"/>
    <w:rsid w:val="0070702F"/>
    <w:rsid w:val="00707568"/>
    <w:rsid w:val="00707B50"/>
    <w:rsid w:val="00710AE5"/>
    <w:rsid w:val="007114BF"/>
    <w:rsid w:val="00712E12"/>
    <w:rsid w:val="007131DA"/>
    <w:rsid w:val="007141EB"/>
    <w:rsid w:val="00714BF1"/>
    <w:rsid w:val="00715526"/>
    <w:rsid w:val="007157E3"/>
    <w:rsid w:val="00715FB5"/>
    <w:rsid w:val="007163AA"/>
    <w:rsid w:val="00716534"/>
    <w:rsid w:val="00717149"/>
    <w:rsid w:val="007171A6"/>
    <w:rsid w:val="0071799D"/>
    <w:rsid w:val="0072103C"/>
    <w:rsid w:val="007218BB"/>
    <w:rsid w:val="00721ADE"/>
    <w:rsid w:val="00721BC9"/>
    <w:rsid w:val="00722319"/>
    <w:rsid w:val="00722F24"/>
    <w:rsid w:val="00723FA5"/>
    <w:rsid w:val="00726088"/>
    <w:rsid w:val="00726361"/>
    <w:rsid w:val="007269C3"/>
    <w:rsid w:val="007308D3"/>
    <w:rsid w:val="00730B6A"/>
    <w:rsid w:val="0073186F"/>
    <w:rsid w:val="00732E91"/>
    <w:rsid w:val="007330A2"/>
    <w:rsid w:val="007331B7"/>
    <w:rsid w:val="0073342F"/>
    <w:rsid w:val="00733652"/>
    <w:rsid w:val="00734CF0"/>
    <w:rsid w:val="0073501E"/>
    <w:rsid w:val="00736303"/>
    <w:rsid w:val="00736D88"/>
    <w:rsid w:val="00736DD2"/>
    <w:rsid w:val="00737A19"/>
    <w:rsid w:val="00737C1F"/>
    <w:rsid w:val="0074198A"/>
    <w:rsid w:val="007426E0"/>
    <w:rsid w:val="00742B4B"/>
    <w:rsid w:val="00742DA6"/>
    <w:rsid w:val="00743582"/>
    <w:rsid w:val="00743B92"/>
    <w:rsid w:val="00745F8C"/>
    <w:rsid w:val="0074681C"/>
    <w:rsid w:val="00746EC2"/>
    <w:rsid w:val="00750E3C"/>
    <w:rsid w:val="00752551"/>
    <w:rsid w:val="00752A1E"/>
    <w:rsid w:val="00752A85"/>
    <w:rsid w:val="00754AD5"/>
    <w:rsid w:val="007554DD"/>
    <w:rsid w:val="00755907"/>
    <w:rsid w:val="00755A77"/>
    <w:rsid w:val="00757A9F"/>
    <w:rsid w:val="0076023D"/>
    <w:rsid w:val="007602B5"/>
    <w:rsid w:val="00760A24"/>
    <w:rsid w:val="00760E40"/>
    <w:rsid w:val="00761161"/>
    <w:rsid w:val="00761A4D"/>
    <w:rsid w:val="0076224D"/>
    <w:rsid w:val="00763A40"/>
    <w:rsid w:val="00763C44"/>
    <w:rsid w:val="00763E72"/>
    <w:rsid w:val="00765930"/>
    <w:rsid w:val="007664F8"/>
    <w:rsid w:val="00766E0C"/>
    <w:rsid w:val="007700E4"/>
    <w:rsid w:val="00770376"/>
    <w:rsid w:val="007707B1"/>
    <w:rsid w:val="00770C6B"/>
    <w:rsid w:val="0077226D"/>
    <w:rsid w:val="007725CC"/>
    <w:rsid w:val="00773CC1"/>
    <w:rsid w:val="00774B73"/>
    <w:rsid w:val="007751C3"/>
    <w:rsid w:val="00776336"/>
    <w:rsid w:val="00776B6A"/>
    <w:rsid w:val="007772B2"/>
    <w:rsid w:val="0078010A"/>
    <w:rsid w:val="007804D1"/>
    <w:rsid w:val="00781AD3"/>
    <w:rsid w:val="00781BFB"/>
    <w:rsid w:val="0078252F"/>
    <w:rsid w:val="007836EF"/>
    <w:rsid w:val="00785801"/>
    <w:rsid w:val="00785C83"/>
    <w:rsid w:val="0078701A"/>
    <w:rsid w:val="0078767D"/>
    <w:rsid w:val="00787AC0"/>
    <w:rsid w:val="00787B17"/>
    <w:rsid w:val="007913C7"/>
    <w:rsid w:val="00794382"/>
    <w:rsid w:val="00794E16"/>
    <w:rsid w:val="0079535C"/>
    <w:rsid w:val="007959AC"/>
    <w:rsid w:val="00796A86"/>
    <w:rsid w:val="00797B47"/>
    <w:rsid w:val="007A038B"/>
    <w:rsid w:val="007A20E0"/>
    <w:rsid w:val="007A2766"/>
    <w:rsid w:val="007A2F48"/>
    <w:rsid w:val="007A4BE0"/>
    <w:rsid w:val="007A6CFE"/>
    <w:rsid w:val="007B17B0"/>
    <w:rsid w:val="007B2204"/>
    <w:rsid w:val="007B2B97"/>
    <w:rsid w:val="007B38D5"/>
    <w:rsid w:val="007B3C03"/>
    <w:rsid w:val="007B3E58"/>
    <w:rsid w:val="007B4B60"/>
    <w:rsid w:val="007B511D"/>
    <w:rsid w:val="007B6231"/>
    <w:rsid w:val="007B7BBA"/>
    <w:rsid w:val="007C11B9"/>
    <w:rsid w:val="007C1BC2"/>
    <w:rsid w:val="007C37EA"/>
    <w:rsid w:val="007C4425"/>
    <w:rsid w:val="007C5862"/>
    <w:rsid w:val="007C5C68"/>
    <w:rsid w:val="007C6B0F"/>
    <w:rsid w:val="007C6CF2"/>
    <w:rsid w:val="007C7D6D"/>
    <w:rsid w:val="007D1AFD"/>
    <w:rsid w:val="007D24FA"/>
    <w:rsid w:val="007D3797"/>
    <w:rsid w:val="007D4AF3"/>
    <w:rsid w:val="007D6CBB"/>
    <w:rsid w:val="007D7A44"/>
    <w:rsid w:val="007D7CEB"/>
    <w:rsid w:val="007D7E65"/>
    <w:rsid w:val="007E12DE"/>
    <w:rsid w:val="007E14DE"/>
    <w:rsid w:val="007E19E0"/>
    <w:rsid w:val="007E1A61"/>
    <w:rsid w:val="007E1D2B"/>
    <w:rsid w:val="007E38FD"/>
    <w:rsid w:val="007E51DD"/>
    <w:rsid w:val="007E541D"/>
    <w:rsid w:val="007E5D43"/>
    <w:rsid w:val="007E6499"/>
    <w:rsid w:val="007E6FC7"/>
    <w:rsid w:val="007F1B8E"/>
    <w:rsid w:val="007F1CB4"/>
    <w:rsid w:val="007F23F0"/>
    <w:rsid w:val="007F34B4"/>
    <w:rsid w:val="007F38FA"/>
    <w:rsid w:val="007F4619"/>
    <w:rsid w:val="007F4711"/>
    <w:rsid w:val="007F6769"/>
    <w:rsid w:val="007F73FC"/>
    <w:rsid w:val="007F7851"/>
    <w:rsid w:val="008006D3"/>
    <w:rsid w:val="00800746"/>
    <w:rsid w:val="00800C56"/>
    <w:rsid w:val="008010DB"/>
    <w:rsid w:val="0080117F"/>
    <w:rsid w:val="0080136B"/>
    <w:rsid w:val="0080192C"/>
    <w:rsid w:val="00801D19"/>
    <w:rsid w:val="0080226A"/>
    <w:rsid w:val="00802AD4"/>
    <w:rsid w:val="008041D4"/>
    <w:rsid w:val="00804DE3"/>
    <w:rsid w:val="00806AAC"/>
    <w:rsid w:val="0080710D"/>
    <w:rsid w:val="00807305"/>
    <w:rsid w:val="008105EC"/>
    <w:rsid w:val="0081156A"/>
    <w:rsid w:val="008137A2"/>
    <w:rsid w:val="0081440A"/>
    <w:rsid w:val="0081579A"/>
    <w:rsid w:val="00815E56"/>
    <w:rsid w:val="00817E16"/>
    <w:rsid w:val="00820C13"/>
    <w:rsid w:val="00821919"/>
    <w:rsid w:val="00822721"/>
    <w:rsid w:val="00823218"/>
    <w:rsid w:val="00823548"/>
    <w:rsid w:val="00823698"/>
    <w:rsid w:val="008256C2"/>
    <w:rsid w:val="0082593F"/>
    <w:rsid w:val="008265DC"/>
    <w:rsid w:val="00826A11"/>
    <w:rsid w:val="00827398"/>
    <w:rsid w:val="00827F12"/>
    <w:rsid w:val="00831976"/>
    <w:rsid w:val="008326FF"/>
    <w:rsid w:val="00832E7F"/>
    <w:rsid w:val="008348F2"/>
    <w:rsid w:val="0083508C"/>
    <w:rsid w:val="00835368"/>
    <w:rsid w:val="00835CE1"/>
    <w:rsid w:val="00837832"/>
    <w:rsid w:val="00841046"/>
    <w:rsid w:val="0084118F"/>
    <w:rsid w:val="00842974"/>
    <w:rsid w:val="00842F30"/>
    <w:rsid w:val="00842F87"/>
    <w:rsid w:val="00843D2E"/>
    <w:rsid w:val="00844FDB"/>
    <w:rsid w:val="00845265"/>
    <w:rsid w:val="00845775"/>
    <w:rsid w:val="00846EEF"/>
    <w:rsid w:val="0084720C"/>
    <w:rsid w:val="00850BAC"/>
    <w:rsid w:val="00850D09"/>
    <w:rsid w:val="00853DE8"/>
    <w:rsid w:val="00854966"/>
    <w:rsid w:val="0085550A"/>
    <w:rsid w:val="00857389"/>
    <w:rsid w:val="00857AA6"/>
    <w:rsid w:val="008616EF"/>
    <w:rsid w:val="00861DB0"/>
    <w:rsid w:val="008629DC"/>
    <w:rsid w:val="008634EB"/>
    <w:rsid w:val="00863C25"/>
    <w:rsid w:val="008641B7"/>
    <w:rsid w:val="00864D80"/>
    <w:rsid w:val="00864DC1"/>
    <w:rsid w:val="008660DB"/>
    <w:rsid w:val="0086694D"/>
    <w:rsid w:val="008705BC"/>
    <w:rsid w:val="008707CC"/>
    <w:rsid w:val="00870F08"/>
    <w:rsid w:val="008716D8"/>
    <w:rsid w:val="00871999"/>
    <w:rsid w:val="00871F7F"/>
    <w:rsid w:val="008721A2"/>
    <w:rsid w:val="00872D2C"/>
    <w:rsid w:val="00872D51"/>
    <w:rsid w:val="008741EA"/>
    <w:rsid w:val="00875605"/>
    <w:rsid w:val="00875A42"/>
    <w:rsid w:val="00877867"/>
    <w:rsid w:val="00880662"/>
    <w:rsid w:val="00881ED1"/>
    <w:rsid w:val="00882392"/>
    <w:rsid w:val="00882F43"/>
    <w:rsid w:val="0088314A"/>
    <w:rsid w:val="00883386"/>
    <w:rsid w:val="00884513"/>
    <w:rsid w:val="00885167"/>
    <w:rsid w:val="00885549"/>
    <w:rsid w:val="008858BB"/>
    <w:rsid w:val="00885982"/>
    <w:rsid w:val="008860D0"/>
    <w:rsid w:val="0088707B"/>
    <w:rsid w:val="008904A8"/>
    <w:rsid w:val="008908C6"/>
    <w:rsid w:val="00890A98"/>
    <w:rsid w:val="00891D94"/>
    <w:rsid w:val="008926D0"/>
    <w:rsid w:val="00893641"/>
    <w:rsid w:val="00894552"/>
    <w:rsid w:val="0089512C"/>
    <w:rsid w:val="00895C3B"/>
    <w:rsid w:val="0089751A"/>
    <w:rsid w:val="00897C56"/>
    <w:rsid w:val="008A19AF"/>
    <w:rsid w:val="008A2042"/>
    <w:rsid w:val="008A20FB"/>
    <w:rsid w:val="008A2A76"/>
    <w:rsid w:val="008A3A01"/>
    <w:rsid w:val="008A3D9E"/>
    <w:rsid w:val="008A4C89"/>
    <w:rsid w:val="008A643C"/>
    <w:rsid w:val="008A6B9F"/>
    <w:rsid w:val="008A6F53"/>
    <w:rsid w:val="008A7036"/>
    <w:rsid w:val="008A7FCA"/>
    <w:rsid w:val="008B0726"/>
    <w:rsid w:val="008B1E6D"/>
    <w:rsid w:val="008B268B"/>
    <w:rsid w:val="008B378B"/>
    <w:rsid w:val="008B49A5"/>
    <w:rsid w:val="008B4E47"/>
    <w:rsid w:val="008B4F05"/>
    <w:rsid w:val="008B5113"/>
    <w:rsid w:val="008C0270"/>
    <w:rsid w:val="008C02B3"/>
    <w:rsid w:val="008C1B22"/>
    <w:rsid w:val="008C1F1A"/>
    <w:rsid w:val="008C2191"/>
    <w:rsid w:val="008C281A"/>
    <w:rsid w:val="008C3A12"/>
    <w:rsid w:val="008C4883"/>
    <w:rsid w:val="008C4C84"/>
    <w:rsid w:val="008C510F"/>
    <w:rsid w:val="008C5335"/>
    <w:rsid w:val="008C6581"/>
    <w:rsid w:val="008C65B3"/>
    <w:rsid w:val="008C6B82"/>
    <w:rsid w:val="008C6C19"/>
    <w:rsid w:val="008D067F"/>
    <w:rsid w:val="008D0D2A"/>
    <w:rsid w:val="008D16F4"/>
    <w:rsid w:val="008D1D2C"/>
    <w:rsid w:val="008D2CB2"/>
    <w:rsid w:val="008D3035"/>
    <w:rsid w:val="008D3283"/>
    <w:rsid w:val="008D3BCD"/>
    <w:rsid w:val="008D4C5A"/>
    <w:rsid w:val="008D4CB6"/>
    <w:rsid w:val="008D79BF"/>
    <w:rsid w:val="008E232C"/>
    <w:rsid w:val="008E388B"/>
    <w:rsid w:val="008E437B"/>
    <w:rsid w:val="008E4D3F"/>
    <w:rsid w:val="008E568A"/>
    <w:rsid w:val="008E66B8"/>
    <w:rsid w:val="008E7140"/>
    <w:rsid w:val="008E761F"/>
    <w:rsid w:val="008F0A2E"/>
    <w:rsid w:val="008F0DFB"/>
    <w:rsid w:val="008F1988"/>
    <w:rsid w:val="008F236D"/>
    <w:rsid w:val="008F2975"/>
    <w:rsid w:val="008F4F9F"/>
    <w:rsid w:val="008F6252"/>
    <w:rsid w:val="008F6B0F"/>
    <w:rsid w:val="008F7463"/>
    <w:rsid w:val="008F76A1"/>
    <w:rsid w:val="00900FDB"/>
    <w:rsid w:val="00901B10"/>
    <w:rsid w:val="009023F3"/>
    <w:rsid w:val="00902F45"/>
    <w:rsid w:val="0090312B"/>
    <w:rsid w:val="009031AC"/>
    <w:rsid w:val="0090383C"/>
    <w:rsid w:val="0090404A"/>
    <w:rsid w:val="009041D0"/>
    <w:rsid w:val="00904298"/>
    <w:rsid w:val="00905AD1"/>
    <w:rsid w:val="00905D85"/>
    <w:rsid w:val="00905EB8"/>
    <w:rsid w:val="00906F11"/>
    <w:rsid w:val="00907667"/>
    <w:rsid w:val="00910B2B"/>
    <w:rsid w:val="00911A37"/>
    <w:rsid w:val="00912132"/>
    <w:rsid w:val="00913091"/>
    <w:rsid w:val="009145FA"/>
    <w:rsid w:val="009146FB"/>
    <w:rsid w:val="00914BB9"/>
    <w:rsid w:val="00915429"/>
    <w:rsid w:val="00915C46"/>
    <w:rsid w:val="00916D48"/>
    <w:rsid w:val="0091703A"/>
    <w:rsid w:val="00917105"/>
    <w:rsid w:val="00917959"/>
    <w:rsid w:val="009211BA"/>
    <w:rsid w:val="00921CA3"/>
    <w:rsid w:val="009226D2"/>
    <w:rsid w:val="009226D7"/>
    <w:rsid w:val="00922AF1"/>
    <w:rsid w:val="00922FAD"/>
    <w:rsid w:val="0092379B"/>
    <w:rsid w:val="00923B2B"/>
    <w:rsid w:val="00924F0A"/>
    <w:rsid w:val="00925082"/>
    <w:rsid w:val="00925726"/>
    <w:rsid w:val="0092653D"/>
    <w:rsid w:val="0092708B"/>
    <w:rsid w:val="00927C80"/>
    <w:rsid w:val="00927DC1"/>
    <w:rsid w:val="00930406"/>
    <w:rsid w:val="0093049D"/>
    <w:rsid w:val="00931816"/>
    <w:rsid w:val="00931BA9"/>
    <w:rsid w:val="00931F56"/>
    <w:rsid w:val="00932C1D"/>
    <w:rsid w:val="009331E1"/>
    <w:rsid w:val="009344E5"/>
    <w:rsid w:val="00934CF9"/>
    <w:rsid w:val="009355DF"/>
    <w:rsid w:val="0093650D"/>
    <w:rsid w:val="0093652C"/>
    <w:rsid w:val="00936C0D"/>
    <w:rsid w:val="00936C0E"/>
    <w:rsid w:val="00937272"/>
    <w:rsid w:val="00937713"/>
    <w:rsid w:val="00937CEF"/>
    <w:rsid w:val="009407B6"/>
    <w:rsid w:val="009416AD"/>
    <w:rsid w:val="00943D76"/>
    <w:rsid w:val="009440A7"/>
    <w:rsid w:val="00945D4E"/>
    <w:rsid w:val="00946EB1"/>
    <w:rsid w:val="0094759E"/>
    <w:rsid w:val="009477DD"/>
    <w:rsid w:val="009500FF"/>
    <w:rsid w:val="0095153A"/>
    <w:rsid w:val="0095160A"/>
    <w:rsid w:val="00951F2E"/>
    <w:rsid w:val="00952C13"/>
    <w:rsid w:val="0095346C"/>
    <w:rsid w:val="009539FA"/>
    <w:rsid w:val="00953C7C"/>
    <w:rsid w:val="009543F6"/>
    <w:rsid w:val="00954A0F"/>
    <w:rsid w:val="009556A9"/>
    <w:rsid w:val="009560DF"/>
    <w:rsid w:val="00956465"/>
    <w:rsid w:val="0095666C"/>
    <w:rsid w:val="009568D2"/>
    <w:rsid w:val="00957687"/>
    <w:rsid w:val="009576F7"/>
    <w:rsid w:val="00957744"/>
    <w:rsid w:val="009611CD"/>
    <w:rsid w:val="00961288"/>
    <w:rsid w:val="00961B35"/>
    <w:rsid w:val="00961C4C"/>
    <w:rsid w:val="00961F89"/>
    <w:rsid w:val="00962BF1"/>
    <w:rsid w:val="00963B66"/>
    <w:rsid w:val="009667C6"/>
    <w:rsid w:val="00966820"/>
    <w:rsid w:val="009670E9"/>
    <w:rsid w:val="00967916"/>
    <w:rsid w:val="00967C16"/>
    <w:rsid w:val="0097001D"/>
    <w:rsid w:val="00970457"/>
    <w:rsid w:val="0097113C"/>
    <w:rsid w:val="009717D0"/>
    <w:rsid w:val="00971E57"/>
    <w:rsid w:val="00971EA8"/>
    <w:rsid w:val="009723CF"/>
    <w:rsid w:val="009737D9"/>
    <w:rsid w:val="00973CB4"/>
    <w:rsid w:val="009742E9"/>
    <w:rsid w:val="009746D2"/>
    <w:rsid w:val="009764DC"/>
    <w:rsid w:val="0097652A"/>
    <w:rsid w:val="00976D1B"/>
    <w:rsid w:val="00977529"/>
    <w:rsid w:val="00977596"/>
    <w:rsid w:val="00977799"/>
    <w:rsid w:val="00980037"/>
    <w:rsid w:val="00980262"/>
    <w:rsid w:val="00980AF5"/>
    <w:rsid w:val="009817DF"/>
    <w:rsid w:val="00981F29"/>
    <w:rsid w:val="00982BC9"/>
    <w:rsid w:val="00983B43"/>
    <w:rsid w:val="00984661"/>
    <w:rsid w:val="00984742"/>
    <w:rsid w:val="00985F4C"/>
    <w:rsid w:val="00986A35"/>
    <w:rsid w:val="009876DB"/>
    <w:rsid w:val="00990713"/>
    <w:rsid w:val="00991802"/>
    <w:rsid w:val="00991942"/>
    <w:rsid w:val="00991B37"/>
    <w:rsid w:val="009935F3"/>
    <w:rsid w:val="009952EC"/>
    <w:rsid w:val="00995725"/>
    <w:rsid w:val="00996AEF"/>
    <w:rsid w:val="009970E0"/>
    <w:rsid w:val="009970EE"/>
    <w:rsid w:val="0099784E"/>
    <w:rsid w:val="009A0D4A"/>
    <w:rsid w:val="009A16D9"/>
    <w:rsid w:val="009A1C5A"/>
    <w:rsid w:val="009A2692"/>
    <w:rsid w:val="009A4239"/>
    <w:rsid w:val="009A4631"/>
    <w:rsid w:val="009A49D5"/>
    <w:rsid w:val="009A5E75"/>
    <w:rsid w:val="009A70B0"/>
    <w:rsid w:val="009B0A6D"/>
    <w:rsid w:val="009B1167"/>
    <w:rsid w:val="009B1304"/>
    <w:rsid w:val="009B374E"/>
    <w:rsid w:val="009B4402"/>
    <w:rsid w:val="009B4C74"/>
    <w:rsid w:val="009B4E56"/>
    <w:rsid w:val="009B4E7D"/>
    <w:rsid w:val="009B6208"/>
    <w:rsid w:val="009C125E"/>
    <w:rsid w:val="009C1D41"/>
    <w:rsid w:val="009C2602"/>
    <w:rsid w:val="009C2F44"/>
    <w:rsid w:val="009C3034"/>
    <w:rsid w:val="009C3452"/>
    <w:rsid w:val="009C381C"/>
    <w:rsid w:val="009C3DE9"/>
    <w:rsid w:val="009C43E8"/>
    <w:rsid w:val="009C4AE7"/>
    <w:rsid w:val="009C4BFF"/>
    <w:rsid w:val="009C63BD"/>
    <w:rsid w:val="009C7522"/>
    <w:rsid w:val="009C76D2"/>
    <w:rsid w:val="009D0867"/>
    <w:rsid w:val="009D0884"/>
    <w:rsid w:val="009D0FDD"/>
    <w:rsid w:val="009D2101"/>
    <w:rsid w:val="009D3162"/>
    <w:rsid w:val="009D3181"/>
    <w:rsid w:val="009D3546"/>
    <w:rsid w:val="009D48EF"/>
    <w:rsid w:val="009D4AA8"/>
    <w:rsid w:val="009D520D"/>
    <w:rsid w:val="009D5718"/>
    <w:rsid w:val="009D7B9B"/>
    <w:rsid w:val="009D7E53"/>
    <w:rsid w:val="009E2B9D"/>
    <w:rsid w:val="009E31B7"/>
    <w:rsid w:val="009E3B69"/>
    <w:rsid w:val="009E3C41"/>
    <w:rsid w:val="009E3E09"/>
    <w:rsid w:val="009E43CF"/>
    <w:rsid w:val="009E4483"/>
    <w:rsid w:val="009E573D"/>
    <w:rsid w:val="009E575C"/>
    <w:rsid w:val="009E6C1C"/>
    <w:rsid w:val="009E717E"/>
    <w:rsid w:val="009E737D"/>
    <w:rsid w:val="009E783A"/>
    <w:rsid w:val="009F1409"/>
    <w:rsid w:val="009F1824"/>
    <w:rsid w:val="009F18FA"/>
    <w:rsid w:val="009F224A"/>
    <w:rsid w:val="009F2501"/>
    <w:rsid w:val="009F2514"/>
    <w:rsid w:val="009F2B3D"/>
    <w:rsid w:val="009F43F4"/>
    <w:rsid w:val="009F539A"/>
    <w:rsid w:val="009F576E"/>
    <w:rsid w:val="009F58F6"/>
    <w:rsid w:val="009F5D82"/>
    <w:rsid w:val="009F65FF"/>
    <w:rsid w:val="009F6E19"/>
    <w:rsid w:val="009F761F"/>
    <w:rsid w:val="00A0018B"/>
    <w:rsid w:val="00A00AE4"/>
    <w:rsid w:val="00A021AD"/>
    <w:rsid w:val="00A03796"/>
    <w:rsid w:val="00A03977"/>
    <w:rsid w:val="00A04B97"/>
    <w:rsid w:val="00A054F6"/>
    <w:rsid w:val="00A05907"/>
    <w:rsid w:val="00A068BC"/>
    <w:rsid w:val="00A10BAE"/>
    <w:rsid w:val="00A10D66"/>
    <w:rsid w:val="00A12A1F"/>
    <w:rsid w:val="00A13D48"/>
    <w:rsid w:val="00A13FB2"/>
    <w:rsid w:val="00A15FBF"/>
    <w:rsid w:val="00A1616D"/>
    <w:rsid w:val="00A169A3"/>
    <w:rsid w:val="00A1783B"/>
    <w:rsid w:val="00A20850"/>
    <w:rsid w:val="00A21144"/>
    <w:rsid w:val="00A22602"/>
    <w:rsid w:val="00A22A6C"/>
    <w:rsid w:val="00A24058"/>
    <w:rsid w:val="00A24B1D"/>
    <w:rsid w:val="00A2524A"/>
    <w:rsid w:val="00A2596D"/>
    <w:rsid w:val="00A25F69"/>
    <w:rsid w:val="00A26FF7"/>
    <w:rsid w:val="00A272B6"/>
    <w:rsid w:val="00A27594"/>
    <w:rsid w:val="00A27A10"/>
    <w:rsid w:val="00A317AE"/>
    <w:rsid w:val="00A3200A"/>
    <w:rsid w:val="00A321C0"/>
    <w:rsid w:val="00A34CA2"/>
    <w:rsid w:val="00A34E31"/>
    <w:rsid w:val="00A35225"/>
    <w:rsid w:val="00A35825"/>
    <w:rsid w:val="00A35F6A"/>
    <w:rsid w:val="00A37602"/>
    <w:rsid w:val="00A37A20"/>
    <w:rsid w:val="00A406B4"/>
    <w:rsid w:val="00A41B6E"/>
    <w:rsid w:val="00A41D1D"/>
    <w:rsid w:val="00A42C7C"/>
    <w:rsid w:val="00A445DC"/>
    <w:rsid w:val="00A44BEA"/>
    <w:rsid w:val="00A457E9"/>
    <w:rsid w:val="00A465B3"/>
    <w:rsid w:val="00A46D4E"/>
    <w:rsid w:val="00A46DF0"/>
    <w:rsid w:val="00A46EB0"/>
    <w:rsid w:val="00A5045C"/>
    <w:rsid w:val="00A52F11"/>
    <w:rsid w:val="00A55B14"/>
    <w:rsid w:val="00A56343"/>
    <w:rsid w:val="00A567DA"/>
    <w:rsid w:val="00A569E8"/>
    <w:rsid w:val="00A57FAF"/>
    <w:rsid w:val="00A601C4"/>
    <w:rsid w:val="00A60C53"/>
    <w:rsid w:val="00A616C0"/>
    <w:rsid w:val="00A61F49"/>
    <w:rsid w:val="00A621BF"/>
    <w:rsid w:val="00A6416E"/>
    <w:rsid w:val="00A650CE"/>
    <w:rsid w:val="00A662E8"/>
    <w:rsid w:val="00A66D06"/>
    <w:rsid w:val="00A67606"/>
    <w:rsid w:val="00A70DD7"/>
    <w:rsid w:val="00A7114C"/>
    <w:rsid w:val="00A711C6"/>
    <w:rsid w:val="00A71429"/>
    <w:rsid w:val="00A71EE2"/>
    <w:rsid w:val="00A72D7E"/>
    <w:rsid w:val="00A74E7C"/>
    <w:rsid w:val="00A7519E"/>
    <w:rsid w:val="00A755A9"/>
    <w:rsid w:val="00A764DE"/>
    <w:rsid w:val="00A77EC2"/>
    <w:rsid w:val="00A80008"/>
    <w:rsid w:val="00A802B5"/>
    <w:rsid w:val="00A80D47"/>
    <w:rsid w:val="00A824F5"/>
    <w:rsid w:val="00A82E08"/>
    <w:rsid w:val="00A84863"/>
    <w:rsid w:val="00A8744E"/>
    <w:rsid w:val="00A87E68"/>
    <w:rsid w:val="00A900D4"/>
    <w:rsid w:val="00A94238"/>
    <w:rsid w:val="00A9449B"/>
    <w:rsid w:val="00A9451A"/>
    <w:rsid w:val="00A9571D"/>
    <w:rsid w:val="00A95D95"/>
    <w:rsid w:val="00A9612A"/>
    <w:rsid w:val="00A96BAB"/>
    <w:rsid w:val="00A977EC"/>
    <w:rsid w:val="00AA096F"/>
    <w:rsid w:val="00AA0D3F"/>
    <w:rsid w:val="00AA0FC6"/>
    <w:rsid w:val="00AA2529"/>
    <w:rsid w:val="00AA2561"/>
    <w:rsid w:val="00AA259D"/>
    <w:rsid w:val="00AA3C95"/>
    <w:rsid w:val="00AA3FD1"/>
    <w:rsid w:val="00AA472E"/>
    <w:rsid w:val="00AA4E51"/>
    <w:rsid w:val="00AA5063"/>
    <w:rsid w:val="00AA5275"/>
    <w:rsid w:val="00AA52DE"/>
    <w:rsid w:val="00AA623F"/>
    <w:rsid w:val="00AA64E7"/>
    <w:rsid w:val="00AB099B"/>
    <w:rsid w:val="00AB11B3"/>
    <w:rsid w:val="00AB1C13"/>
    <w:rsid w:val="00AB2A43"/>
    <w:rsid w:val="00AB3171"/>
    <w:rsid w:val="00AB4B36"/>
    <w:rsid w:val="00AB51D5"/>
    <w:rsid w:val="00AB5801"/>
    <w:rsid w:val="00AB5ED3"/>
    <w:rsid w:val="00AB685E"/>
    <w:rsid w:val="00AB6B0C"/>
    <w:rsid w:val="00AB6B3E"/>
    <w:rsid w:val="00AB70CD"/>
    <w:rsid w:val="00AB73F6"/>
    <w:rsid w:val="00AB7800"/>
    <w:rsid w:val="00AC01D7"/>
    <w:rsid w:val="00AC0421"/>
    <w:rsid w:val="00AC1860"/>
    <w:rsid w:val="00AC291C"/>
    <w:rsid w:val="00AC2DE9"/>
    <w:rsid w:val="00AC3213"/>
    <w:rsid w:val="00AC3771"/>
    <w:rsid w:val="00AC3CB5"/>
    <w:rsid w:val="00AC4266"/>
    <w:rsid w:val="00AC4505"/>
    <w:rsid w:val="00AC4898"/>
    <w:rsid w:val="00AC48B3"/>
    <w:rsid w:val="00AC4A9F"/>
    <w:rsid w:val="00AC50F7"/>
    <w:rsid w:val="00AC5A3D"/>
    <w:rsid w:val="00AC7AC9"/>
    <w:rsid w:val="00AD2131"/>
    <w:rsid w:val="00AD3CF5"/>
    <w:rsid w:val="00AD4170"/>
    <w:rsid w:val="00AD4F29"/>
    <w:rsid w:val="00AD50E1"/>
    <w:rsid w:val="00AD7ADE"/>
    <w:rsid w:val="00AD7BD2"/>
    <w:rsid w:val="00AE141D"/>
    <w:rsid w:val="00AE1920"/>
    <w:rsid w:val="00AE240A"/>
    <w:rsid w:val="00AE44A8"/>
    <w:rsid w:val="00AE5C97"/>
    <w:rsid w:val="00AF01B3"/>
    <w:rsid w:val="00AF059A"/>
    <w:rsid w:val="00AF0F13"/>
    <w:rsid w:val="00AF2996"/>
    <w:rsid w:val="00AF36FD"/>
    <w:rsid w:val="00AF3C2B"/>
    <w:rsid w:val="00AF422B"/>
    <w:rsid w:val="00AF5616"/>
    <w:rsid w:val="00AF574D"/>
    <w:rsid w:val="00AF605E"/>
    <w:rsid w:val="00AF6334"/>
    <w:rsid w:val="00AF7726"/>
    <w:rsid w:val="00AF796D"/>
    <w:rsid w:val="00AF7992"/>
    <w:rsid w:val="00AF7C59"/>
    <w:rsid w:val="00AF7CDD"/>
    <w:rsid w:val="00AF7D1D"/>
    <w:rsid w:val="00AF7DA1"/>
    <w:rsid w:val="00AF7F4D"/>
    <w:rsid w:val="00B004EE"/>
    <w:rsid w:val="00B00AB3"/>
    <w:rsid w:val="00B03DA0"/>
    <w:rsid w:val="00B07D83"/>
    <w:rsid w:val="00B1139D"/>
    <w:rsid w:val="00B11CA8"/>
    <w:rsid w:val="00B121BA"/>
    <w:rsid w:val="00B12907"/>
    <w:rsid w:val="00B12CDB"/>
    <w:rsid w:val="00B13897"/>
    <w:rsid w:val="00B1412D"/>
    <w:rsid w:val="00B143D0"/>
    <w:rsid w:val="00B14C52"/>
    <w:rsid w:val="00B15081"/>
    <w:rsid w:val="00B15314"/>
    <w:rsid w:val="00B15F10"/>
    <w:rsid w:val="00B176C9"/>
    <w:rsid w:val="00B17986"/>
    <w:rsid w:val="00B200AA"/>
    <w:rsid w:val="00B21095"/>
    <w:rsid w:val="00B2128D"/>
    <w:rsid w:val="00B22E0A"/>
    <w:rsid w:val="00B2443D"/>
    <w:rsid w:val="00B24556"/>
    <w:rsid w:val="00B2488E"/>
    <w:rsid w:val="00B24F47"/>
    <w:rsid w:val="00B25511"/>
    <w:rsid w:val="00B25EB3"/>
    <w:rsid w:val="00B2667B"/>
    <w:rsid w:val="00B26956"/>
    <w:rsid w:val="00B270BB"/>
    <w:rsid w:val="00B27285"/>
    <w:rsid w:val="00B311CC"/>
    <w:rsid w:val="00B320B7"/>
    <w:rsid w:val="00B346A3"/>
    <w:rsid w:val="00B34A27"/>
    <w:rsid w:val="00B355F4"/>
    <w:rsid w:val="00B3666D"/>
    <w:rsid w:val="00B404C4"/>
    <w:rsid w:val="00B42056"/>
    <w:rsid w:val="00B42230"/>
    <w:rsid w:val="00B43B9D"/>
    <w:rsid w:val="00B43FCD"/>
    <w:rsid w:val="00B463E8"/>
    <w:rsid w:val="00B4668B"/>
    <w:rsid w:val="00B46DAA"/>
    <w:rsid w:val="00B478C3"/>
    <w:rsid w:val="00B5130F"/>
    <w:rsid w:val="00B5159D"/>
    <w:rsid w:val="00B52715"/>
    <w:rsid w:val="00B5507D"/>
    <w:rsid w:val="00B55330"/>
    <w:rsid w:val="00B55B69"/>
    <w:rsid w:val="00B55CC5"/>
    <w:rsid w:val="00B56C26"/>
    <w:rsid w:val="00B606D3"/>
    <w:rsid w:val="00B61348"/>
    <w:rsid w:val="00B6263F"/>
    <w:rsid w:val="00B63AFF"/>
    <w:rsid w:val="00B65E56"/>
    <w:rsid w:val="00B661C8"/>
    <w:rsid w:val="00B66327"/>
    <w:rsid w:val="00B665FB"/>
    <w:rsid w:val="00B670A1"/>
    <w:rsid w:val="00B67114"/>
    <w:rsid w:val="00B7097C"/>
    <w:rsid w:val="00B715D3"/>
    <w:rsid w:val="00B72984"/>
    <w:rsid w:val="00B72DA5"/>
    <w:rsid w:val="00B72FA8"/>
    <w:rsid w:val="00B73590"/>
    <w:rsid w:val="00B738BE"/>
    <w:rsid w:val="00B75449"/>
    <w:rsid w:val="00B76049"/>
    <w:rsid w:val="00B77015"/>
    <w:rsid w:val="00B7736F"/>
    <w:rsid w:val="00B8050A"/>
    <w:rsid w:val="00B806D3"/>
    <w:rsid w:val="00B80A14"/>
    <w:rsid w:val="00B81284"/>
    <w:rsid w:val="00B814EB"/>
    <w:rsid w:val="00B82929"/>
    <w:rsid w:val="00B83C9B"/>
    <w:rsid w:val="00B84942"/>
    <w:rsid w:val="00B8678A"/>
    <w:rsid w:val="00B86DA1"/>
    <w:rsid w:val="00B87401"/>
    <w:rsid w:val="00B87D4A"/>
    <w:rsid w:val="00B90BDF"/>
    <w:rsid w:val="00B90ED4"/>
    <w:rsid w:val="00B915B6"/>
    <w:rsid w:val="00B9176F"/>
    <w:rsid w:val="00B91CD5"/>
    <w:rsid w:val="00B94DD9"/>
    <w:rsid w:val="00B95277"/>
    <w:rsid w:val="00B96305"/>
    <w:rsid w:val="00B977E8"/>
    <w:rsid w:val="00B97E92"/>
    <w:rsid w:val="00BA033D"/>
    <w:rsid w:val="00BA1A60"/>
    <w:rsid w:val="00BA289A"/>
    <w:rsid w:val="00BA28D7"/>
    <w:rsid w:val="00BA2B9E"/>
    <w:rsid w:val="00BA35D7"/>
    <w:rsid w:val="00BA3FF1"/>
    <w:rsid w:val="00BA527C"/>
    <w:rsid w:val="00BA5693"/>
    <w:rsid w:val="00BB24FD"/>
    <w:rsid w:val="00BB2B2B"/>
    <w:rsid w:val="00BB2E39"/>
    <w:rsid w:val="00BB39A7"/>
    <w:rsid w:val="00BB4843"/>
    <w:rsid w:val="00BB498A"/>
    <w:rsid w:val="00BB4FE7"/>
    <w:rsid w:val="00BB53C8"/>
    <w:rsid w:val="00BB7494"/>
    <w:rsid w:val="00BB795A"/>
    <w:rsid w:val="00BC0DB2"/>
    <w:rsid w:val="00BC2390"/>
    <w:rsid w:val="00BC23B9"/>
    <w:rsid w:val="00BC25FB"/>
    <w:rsid w:val="00BC3C51"/>
    <w:rsid w:val="00BC421E"/>
    <w:rsid w:val="00BC452A"/>
    <w:rsid w:val="00BC46AD"/>
    <w:rsid w:val="00BC4DD4"/>
    <w:rsid w:val="00BC5635"/>
    <w:rsid w:val="00BC775D"/>
    <w:rsid w:val="00BC7D93"/>
    <w:rsid w:val="00BD0AF5"/>
    <w:rsid w:val="00BD2597"/>
    <w:rsid w:val="00BD2A65"/>
    <w:rsid w:val="00BD3B2A"/>
    <w:rsid w:val="00BD52AE"/>
    <w:rsid w:val="00BD552F"/>
    <w:rsid w:val="00BD5A75"/>
    <w:rsid w:val="00BD639A"/>
    <w:rsid w:val="00BD6F46"/>
    <w:rsid w:val="00BE0206"/>
    <w:rsid w:val="00BE0390"/>
    <w:rsid w:val="00BE05CE"/>
    <w:rsid w:val="00BE07A9"/>
    <w:rsid w:val="00BE0BEB"/>
    <w:rsid w:val="00BE0CE0"/>
    <w:rsid w:val="00BE2E0E"/>
    <w:rsid w:val="00BE2E36"/>
    <w:rsid w:val="00BE2FD1"/>
    <w:rsid w:val="00BE416E"/>
    <w:rsid w:val="00BE4B53"/>
    <w:rsid w:val="00BE4D8F"/>
    <w:rsid w:val="00BE52AC"/>
    <w:rsid w:val="00BE5FC2"/>
    <w:rsid w:val="00BF001C"/>
    <w:rsid w:val="00BF0267"/>
    <w:rsid w:val="00BF246B"/>
    <w:rsid w:val="00BF372C"/>
    <w:rsid w:val="00BF46A7"/>
    <w:rsid w:val="00BF4843"/>
    <w:rsid w:val="00BF4AC3"/>
    <w:rsid w:val="00BF5230"/>
    <w:rsid w:val="00BF5A31"/>
    <w:rsid w:val="00BF5DE7"/>
    <w:rsid w:val="00BF6FCB"/>
    <w:rsid w:val="00BF71E1"/>
    <w:rsid w:val="00C00289"/>
    <w:rsid w:val="00C00ACC"/>
    <w:rsid w:val="00C01BA5"/>
    <w:rsid w:val="00C0317C"/>
    <w:rsid w:val="00C03ABE"/>
    <w:rsid w:val="00C03B1B"/>
    <w:rsid w:val="00C04338"/>
    <w:rsid w:val="00C04953"/>
    <w:rsid w:val="00C05613"/>
    <w:rsid w:val="00C057BB"/>
    <w:rsid w:val="00C07386"/>
    <w:rsid w:val="00C1090C"/>
    <w:rsid w:val="00C12979"/>
    <w:rsid w:val="00C13439"/>
    <w:rsid w:val="00C13EF3"/>
    <w:rsid w:val="00C14801"/>
    <w:rsid w:val="00C15E5D"/>
    <w:rsid w:val="00C1623E"/>
    <w:rsid w:val="00C16EEF"/>
    <w:rsid w:val="00C17912"/>
    <w:rsid w:val="00C17D71"/>
    <w:rsid w:val="00C17FF8"/>
    <w:rsid w:val="00C20A0C"/>
    <w:rsid w:val="00C20AF1"/>
    <w:rsid w:val="00C2232F"/>
    <w:rsid w:val="00C224BA"/>
    <w:rsid w:val="00C240C8"/>
    <w:rsid w:val="00C24637"/>
    <w:rsid w:val="00C250D0"/>
    <w:rsid w:val="00C25144"/>
    <w:rsid w:val="00C26513"/>
    <w:rsid w:val="00C30977"/>
    <w:rsid w:val="00C328C9"/>
    <w:rsid w:val="00C33659"/>
    <w:rsid w:val="00C336AB"/>
    <w:rsid w:val="00C339ED"/>
    <w:rsid w:val="00C34F26"/>
    <w:rsid w:val="00C35BA8"/>
    <w:rsid w:val="00C362DB"/>
    <w:rsid w:val="00C37F72"/>
    <w:rsid w:val="00C403E8"/>
    <w:rsid w:val="00C40ACB"/>
    <w:rsid w:val="00C40EE1"/>
    <w:rsid w:val="00C420C1"/>
    <w:rsid w:val="00C43F34"/>
    <w:rsid w:val="00C43FEE"/>
    <w:rsid w:val="00C44AC5"/>
    <w:rsid w:val="00C453F8"/>
    <w:rsid w:val="00C45963"/>
    <w:rsid w:val="00C46382"/>
    <w:rsid w:val="00C472B8"/>
    <w:rsid w:val="00C47566"/>
    <w:rsid w:val="00C51922"/>
    <w:rsid w:val="00C519F5"/>
    <w:rsid w:val="00C52466"/>
    <w:rsid w:val="00C529FD"/>
    <w:rsid w:val="00C52ABA"/>
    <w:rsid w:val="00C52B2D"/>
    <w:rsid w:val="00C53124"/>
    <w:rsid w:val="00C53B2E"/>
    <w:rsid w:val="00C5413F"/>
    <w:rsid w:val="00C54F44"/>
    <w:rsid w:val="00C55A16"/>
    <w:rsid w:val="00C567DB"/>
    <w:rsid w:val="00C57AB2"/>
    <w:rsid w:val="00C60190"/>
    <w:rsid w:val="00C60A05"/>
    <w:rsid w:val="00C60DAF"/>
    <w:rsid w:val="00C611C9"/>
    <w:rsid w:val="00C6160A"/>
    <w:rsid w:val="00C61F6E"/>
    <w:rsid w:val="00C62716"/>
    <w:rsid w:val="00C62851"/>
    <w:rsid w:val="00C62B14"/>
    <w:rsid w:val="00C64092"/>
    <w:rsid w:val="00C64E69"/>
    <w:rsid w:val="00C65711"/>
    <w:rsid w:val="00C6677A"/>
    <w:rsid w:val="00C66FBA"/>
    <w:rsid w:val="00C672EA"/>
    <w:rsid w:val="00C7068A"/>
    <w:rsid w:val="00C7081B"/>
    <w:rsid w:val="00C70971"/>
    <w:rsid w:val="00C710EC"/>
    <w:rsid w:val="00C712E6"/>
    <w:rsid w:val="00C71408"/>
    <w:rsid w:val="00C71DAB"/>
    <w:rsid w:val="00C71E4E"/>
    <w:rsid w:val="00C72273"/>
    <w:rsid w:val="00C737E3"/>
    <w:rsid w:val="00C73AF2"/>
    <w:rsid w:val="00C748DA"/>
    <w:rsid w:val="00C74CA5"/>
    <w:rsid w:val="00C74E6C"/>
    <w:rsid w:val="00C76CFC"/>
    <w:rsid w:val="00C76DE4"/>
    <w:rsid w:val="00C76ECD"/>
    <w:rsid w:val="00C77400"/>
    <w:rsid w:val="00C77586"/>
    <w:rsid w:val="00C80162"/>
    <w:rsid w:val="00C8109A"/>
    <w:rsid w:val="00C810F4"/>
    <w:rsid w:val="00C812CF"/>
    <w:rsid w:val="00C84474"/>
    <w:rsid w:val="00C84B63"/>
    <w:rsid w:val="00C84E04"/>
    <w:rsid w:val="00C85A86"/>
    <w:rsid w:val="00C85C6D"/>
    <w:rsid w:val="00C863EF"/>
    <w:rsid w:val="00C865FD"/>
    <w:rsid w:val="00C86BC0"/>
    <w:rsid w:val="00C8700C"/>
    <w:rsid w:val="00C87E9B"/>
    <w:rsid w:val="00C910BE"/>
    <w:rsid w:val="00C922BE"/>
    <w:rsid w:val="00C92FD4"/>
    <w:rsid w:val="00C93539"/>
    <w:rsid w:val="00C93B81"/>
    <w:rsid w:val="00C955D2"/>
    <w:rsid w:val="00C95FB2"/>
    <w:rsid w:val="00C961A0"/>
    <w:rsid w:val="00C962B5"/>
    <w:rsid w:val="00C96364"/>
    <w:rsid w:val="00C97C25"/>
    <w:rsid w:val="00C97C9C"/>
    <w:rsid w:val="00C97EB3"/>
    <w:rsid w:val="00CA09FC"/>
    <w:rsid w:val="00CA126B"/>
    <w:rsid w:val="00CA14F4"/>
    <w:rsid w:val="00CA241A"/>
    <w:rsid w:val="00CA2B0B"/>
    <w:rsid w:val="00CA3D88"/>
    <w:rsid w:val="00CA583F"/>
    <w:rsid w:val="00CA5844"/>
    <w:rsid w:val="00CA595F"/>
    <w:rsid w:val="00CA62F1"/>
    <w:rsid w:val="00CA6684"/>
    <w:rsid w:val="00CA7415"/>
    <w:rsid w:val="00CB21C4"/>
    <w:rsid w:val="00CB265C"/>
    <w:rsid w:val="00CB26A1"/>
    <w:rsid w:val="00CB29CA"/>
    <w:rsid w:val="00CB2E35"/>
    <w:rsid w:val="00CB32BC"/>
    <w:rsid w:val="00CB3904"/>
    <w:rsid w:val="00CB3DE3"/>
    <w:rsid w:val="00CB3F66"/>
    <w:rsid w:val="00CB4540"/>
    <w:rsid w:val="00CB4951"/>
    <w:rsid w:val="00CB4F27"/>
    <w:rsid w:val="00CB6833"/>
    <w:rsid w:val="00CB7A07"/>
    <w:rsid w:val="00CC0C05"/>
    <w:rsid w:val="00CC12B9"/>
    <w:rsid w:val="00CC13FC"/>
    <w:rsid w:val="00CC1986"/>
    <w:rsid w:val="00CC1DF4"/>
    <w:rsid w:val="00CC2090"/>
    <w:rsid w:val="00CC2AC6"/>
    <w:rsid w:val="00CC2C2C"/>
    <w:rsid w:val="00CC2FB8"/>
    <w:rsid w:val="00CC3AC8"/>
    <w:rsid w:val="00CC577E"/>
    <w:rsid w:val="00CC59BB"/>
    <w:rsid w:val="00CC6107"/>
    <w:rsid w:val="00CC66ED"/>
    <w:rsid w:val="00CC6E1D"/>
    <w:rsid w:val="00CC7E17"/>
    <w:rsid w:val="00CD0037"/>
    <w:rsid w:val="00CD05FD"/>
    <w:rsid w:val="00CD1B93"/>
    <w:rsid w:val="00CD200A"/>
    <w:rsid w:val="00CD212F"/>
    <w:rsid w:val="00CD266F"/>
    <w:rsid w:val="00CD2E7B"/>
    <w:rsid w:val="00CD369E"/>
    <w:rsid w:val="00CD3BD4"/>
    <w:rsid w:val="00CD3CC8"/>
    <w:rsid w:val="00CD4487"/>
    <w:rsid w:val="00CD5226"/>
    <w:rsid w:val="00CD635D"/>
    <w:rsid w:val="00CD664C"/>
    <w:rsid w:val="00CD6B17"/>
    <w:rsid w:val="00CD6DEE"/>
    <w:rsid w:val="00CD7C5B"/>
    <w:rsid w:val="00CD7CED"/>
    <w:rsid w:val="00CD7FE2"/>
    <w:rsid w:val="00CE04C7"/>
    <w:rsid w:val="00CE2AFE"/>
    <w:rsid w:val="00CE3C58"/>
    <w:rsid w:val="00CE3C9F"/>
    <w:rsid w:val="00CE4529"/>
    <w:rsid w:val="00CE7BC1"/>
    <w:rsid w:val="00CF03F4"/>
    <w:rsid w:val="00CF0594"/>
    <w:rsid w:val="00CF1302"/>
    <w:rsid w:val="00CF156B"/>
    <w:rsid w:val="00CF1876"/>
    <w:rsid w:val="00CF1CE5"/>
    <w:rsid w:val="00CF1E02"/>
    <w:rsid w:val="00CF1E7C"/>
    <w:rsid w:val="00CF2ECE"/>
    <w:rsid w:val="00CF3993"/>
    <w:rsid w:val="00CF39F8"/>
    <w:rsid w:val="00CF42A3"/>
    <w:rsid w:val="00CF4604"/>
    <w:rsid w:val="00CF4BD6"/>
    <w:rsid w:val="00CF4D19"/>
    <w:rsid w:val="00CF5068"/>
    <w:rsid w:val="00CF597A"/>
    <w:rsid w:val="00CF60E1"/>
    <w:rsid w:val="00CF6D8F"/>
    <w:rsid w:val="00CF728E"/>
    <w:rsid w:val="00CF7B29"/>
    <w:rsid w:val="00D00502"/>
    <w:rsid w:val="00D00DA0"/>
    <w:rsid w:val="00D0103F"/>
    <w:rsid w:val="00D02E3F"/>
    <w:rsid w:val="00D03129"/>
    <w:rsid w:val="00D0454E"/>
    <w:rsid w:val="00D058ED"/>
    <w:rsid w:val="00D05BAA"/>
    <w:rsid w:val="00D07D6B"/>
    <w:rsid w:val="00D07F26"/>
    <w:rsid w:val="00D10357"/>
    <w:rsid w:val="00D10F45"/>
    <w:rsid w:val="00D11A09"/>
    <w:rsid w:val="00D11BCD"/>
    <w:rsid w:val="00D11D13"/>
    <w:rsid w:val="00D13B7A"/>
    <w:rsid w:val="00D16B23"/>
    <w:rsid w:val="00D17A23"/>
    <w:rsid w:val="00D17C08"/>
    <w:rsid w:val="00D17FD1"/>
    <w:rsid w:val="00D205ED"/>
    <w:rsid w:val="00D22623"/>
    <w:rsid w:val="00D2277B"/>
    <w:rsid w:val="00D22C4B"/>
    <w:rsid w:val="00D22E75"/>
    <w:rsid w:val="00D230C7"/>
    <w:rsid w:val="00D23918"/>
    <w:rsid w:val="00D23C64"/>
    <w:rsid w:val="00D23E7D"/>
    <w:rsid w:val="00D2405F"/>
    <w:rsid w:val="00D2474A"/>
    <w:rsid w:val="00D2571D"/>
    <w:rsid w:val="00D26B87"/>
    <w:rsid w:val="00D26C71"/>
    <w:rsid w:val="00D30C7F"/>
    <w:rsid w:val="00D3174D"/>
    <w:rsid w:val="00D31EA8"/>
    <w:rsid w:val="00D3236B"/>
    <w:rsid w:val="00D32951"/>
    <w:rsid w:val="00D32DFB"/>
    <w:rsid w:val="00D330AC"/>
    <w:rsid w:val="00D334F8"/>
    <w:rsid w:val="00D33CB6"/>
    <w:rsid w:val="00D33E10"/>
    <w:rsid w:val="00D36C9D"/>
    <w:rsid w:val="00D37C9D"/>
    <w:rsid w:val="00D4144B"/>
    <w:rsid w:val="00D41687"/>
    <w:rsid w:val="00D416FF"/>
    <w:rsid w:val="00D41998"/>
    <w:rsid w:val="00D41BA9"/>
    <w:rsid w:val="00D43860"/>
    <w:rsid w:val="00D43DCF"/>
    <w:rsid w:val="00D44059"/>
    <w:rsid w:val="00D44B21"/>
    <w:rsid w:val="00D4511A"/>
    <w:rsid w:val="00D4645E"/>
    <w:rsid w:val="00D466AC"/>
    <w:rsid w:val="00D50039"/>
    <w:rsid w:val="00D5141C"/>
    <w:rsid w:val="00D51A2B"/>
    <w:rsid w:val="00D52376"/>
    <w:rsid w:val="00D52E50"/>
    <w:rsid w:val="00D54F47"/>
    <w:rsid w:val="00D551AB"/>
    <w:rsid w:val="00D56116"/>
    <w:rsid w:val="00D56B87"/>
    <w:rsid w:val="00D60140"/>
    <w:rsid w:val="00D612C2"/>
    <w:rsid w:val="00D6312E"/>
    <w:rsid w:val="00D6361D"/>
    <w:rsid w:val="00D6486C"/>
    <w:rsid w:val="00D64D37"/>
    <w:rsid w:val="00D64D38"/>
    <w:rsid w:val="00D65B68"/>
    <w:rsid w:val="00D66F57"/>
    <w:rsid w:val="00D67927"/>
    <w:rsid w:val="00D70935"/>
    <w:rsid w:val="00D73362"/>
    <w:rsid w:val="00D7395B"/>
    <w:rsid w:val="00D745E0"/>
    <w:rsid w:val="00D7485D"/>
    <w:rsid w:val="00D74ADB"/>
    <w:rsid w:val="00D75179"/>
    <w:rsid w:val="00D755B7"/>
    <w:rsid w:val="00D76383"/>
    <w:rsid w:val="00D76435"/>
    <w:rsid w:val="00D76837"/>
    <w:rsid w:val="00D76AA3"/>
    <w:rsid w:val="00D77A03"/>
    <w:rsid w:val="00D77EAE"/>
    <w:rsid w:val="00D80604"/>
    <w:rsid w:val="00D80750"/>
    <w:rsid w:val="00D80AAD"/>
    <w:rsid w:val="00D80AAE"/>
    <w:rsid w:val="00D8180B"/>
    <w:rsid w:val="00D82489"/>
    <w:rsid w:val="00D82E28"/>
    <w:rsid w:val="00D8364A"/>
    <w:rsid w:val="00D85603"/>
    <w:rsid w:val="00D862AB"/>
    <w:rsid w:val="00D86529"/>
    <w:rsid w:val="00D865CD"/>
    <w:rsid w:val="00D86A86"/>
    <w:rsid w:val="00D8791E"/>
    <w:rsid w:val="00D90FDD"/>
    <w:rsid w:val="00D91060"/>
    <w:rsid w:val="00D914D5"/>
    <w:rsid w:val="00D9214F"/>
    <w:rsid w:val="00D92438"/>
    <w:rsid w:val="00D92B8E"/>
    <w:rsid w:val="00D93836"/>
    <w:rsid w:val="00D93F80"/>
    <w:rsid w:val="00D9749C"/>
    <w:rsid w:val="00D97B60"/>
    <w:rsid w:val="00DA0040"/>
    <w:rsid w:val="00DA086B"/>
    <w:rsid w:val="00DA0C08"/>
    <w:rsid w:val="00DA14B1"/>
    <w:rsid w:val="00DA1D7A"/>
    <w:rsid w:val="00DA34D5"/>
    <w:rsid w:val="00DA3666"/>
    <w:rsid w:val="00DA5E0A"/>
    <w:rsid w:val="00DA631B"/>
    <w:rsid w:val="00DA6834"/>
    <w:rsid w:val="00DA7145"/>
    <w:rsid w:val="00DA737A"/>
    <w:rsid w:val="00DA7E05"/>
    <w:rsid w:val="00DB4794"/>
    <w:rsid w:val="00DB5144"/>
    <w:rsid w:val="00DB5C3E"/>
    <w:rsid w:val="00DB628E"/>
    <w:rsid w:val="00DB6826"/>
    <w:rsid w:val="00DB77DA"/>
    <w:rsid w:val="00DB788E"/>
    <w:rsid w:val="00DB78F8"/>
    <w:rsid w:val="00DC023C"/>
    <w:rsid w:val="00DC23AA"/>
    <w:rsid w:val="00DC2CE2"/>
    <w:rsid w:val="00DC2F56"/>
    <w:rsid w:val="00DC37EE"/>
    <w:rsid w:val="00DC4070"/>
    <w:rsid w:val="00DC4429"/>
    <w:rsid w:val="00DC4449"/>
    <w:rsid w:val="00DC51A2"/>
    <w:rsid w:val="00DC5CB7"/>
    <w:rsid w:val="00DC5F12"/>
    <w:rsid w:val="00DC6FC9"/>
    <w:rsid w:val="00DC71F1"/>
    <w:rsid w:val="00DC755A"/>
    <w:rsid w:val="00DC7727"/>
    <w:rsid w:val="00DC7E86"/>
    <w:rsid w:val="00DD0B2F"/>
    <w:rsid w:val="00DD13F0"/>
    <w:rsid w:val="00DD150E"/>
    <w:rsid w:val="00DD1715"/>
    <w:rsid w:val="00DD2C7D"/>
    <w:rsid w:val="00DD38C4"/>
    <w:rsid w:val="00DD3C52"/>
    <w:rsid w:val="00DD44D7"/>
    <w:rsid w:val="00DD468D"/>
    <w:rsid w:val="00DD54A1"/>
    <w:rsid w:val="00DD5D1D"/>
    <w:rsid w:val="00DD769E"/>
    <w:rsid w:val="00DD7732"/>
    <w:rsid w:val="00DE1A43"/>
    <w:rsid w:val="00DE1DE6"/>
    <w:rsid w:val="00DE1E39"/>
    <w:rsid w:val="00DE200A"/>
    <w:rsid w:val="00DE203A"/>
    <w:rsid w:val="00DE2C7E"/>
    <w:rsid w:val="00DE3757"/>
    <w:rsid w:val="00DE4344"/>
    <w:rsid w:val="00DE4B5D"/>
    <w:rsid w:val="00DE513D"/>
    <w:rsid w:val="00DE6533"/>
    <w:rsid w:val="00DE6C36"/>
    <w:rsid w:val="00DE7255"/>
    <w:rsid w:val="00DF03D1"/>
    <w:rsid w:val="00DF1CED"/>
    <w:rsid w:val="00DF1EAF"/>
    <w:rsid w:val="00DF235C"/>
    <w:rsid w:val="00DF28ED"/>
    <w:rsid w:val="00DF3F59"/>
    <w:rsid w:val="00DF4718"/>
    <w:rsid w:val="00DF47D6"/>
    <w:rsid w:val="00DF4D5A"/>
    <w:rsid w:val="00DF5425"/>
    <w:rsid w:val="00DF6E71"/>
    <w:rsid w:val="00DF782C"/>
    <w:rsid w:val="00E001A8"/>
    <w:rsid w:val="00E00B5E"/>
    <w:rsid w:val="00E016F9"/>
    <w:rsid w:val="00E02481"/>
    <w:rsid w:val="00E030A0"/>
    <w:rsid w:val="00E030CC"/>
    <w:rsid w:val="00E03B4E"/>
    <w:rsid w:val="00E03F1D"/>
    <w:rsid w:val="00E04B8A"/>
    <w:rsid w:val="00E04F16"/>
    <w:rsid w:val="00E054C3"/>
    <w:rsid w:val="00E05726"/>
    <w:rsid w:val="00E06095"/>
    <w:rsid w:val="00E075A1"/>
    <w:rsid w:val="00E11F91"/>
    <w:rsid w:val="00E124E3"/>
    <w:rsid w:val="00E12F81"/>
    <w:rsid w:val="00E138FA"/>
    <w:rsid w:val="00E13E56"/>
    <w:rsid w:val="00E143F6"/>
    <w:rsid w:val="00E14812"/>
    <w:rsid w:val="00E15039"/>
    <w:rsid w:val="00E15231"/>
    <w:rsid w:val="00E15DDE"/>
    <w:rsid w:val="00E16083"/>
    <w:rsid w:val="00E165D1"/>
    <w:rsid w:val="00E16C5D"/>
    <w:rsid w:val="00E2079C"/>
    <w:rsid w:val="00E223F1"/>
    <w:rsid w:val="00E2339E"/>
    <w:rsid w:val="00E245FD"/>
    <w:rsid w:val="00E24F8D"/>
    <w:rsid w:val="00E26408"/>
    <w:rsid w:val="00E2646A"/>
    <w:rsid w:val="00E267A7"/>
    <w:rsid w:val="00E30BD4"/>
    <w:rsid w:val="00E31E6F"/>
    <w:rsid w:val="00E320B6"/>
    <w:rsid w:val="00E3245B"/>
    <w:rsid w:val="00E32DCD"/>
    <w:rsid w:val="00E32DCE"/>
    <w:rsid w:val="00E3342D"/>
    <w:rsid w:val="00E33B37"/>
    <w:rsid w:val="00E35FCC"/>
    <w:rsid w:val="00E3632D"/>
    <w:rsid w:val="00E3707B"/>
    <w:rsid w:val="00E37142"/>
    <w:rsid w:val="00E40090"/>
    <w:rsid w:val="00E40C5D"/>
    <w:rsid w:val="00E40E9D"/>
    <w:rsid w:val="00E4152A"/>
    <w:rsid w:val="00E42281"/>
    <w:rsid w:val="00E423BC"/>
    <w:rsid w:val="00E43857"/>
    <w:rsid w:val="00E43BE9"/>
    <w:rsid w:val="00E46514"/>
    <w:rsid w:val="00E46CE3"/>
    <w:rsid w:val="00E476C1"/>
    <w:rsid w:val="00E50020"/>
    <w:rsid w:val="00E50685"/>
    <w:rsid w:val="00E506CA"/>
    <w:rsid w:val="00E50B44"/>
    <w:rsid w:val="00E51693"/>
    <w:rsid w:val="00E51900"/>
    <w:rsid w:val="00E520B7"/>
    <w:rsid w:val="00E53A63"/>
    <w:rsid w:val="00E54DEB"/>
    <w:rsid w:val="00E54EB7"/>
    <w:rsid w:val="00E55AD3"/>
    <w:rsid w:val="00E56291"/>
    <w:rsid w:val="00E57F6B"/>
    <w:rsid w:val="00E609CE"/>
    <w:rsid w:val="00E60A8D"/>
    <w:rsid w:val="00E61A71"/>
    <w:rsid w:val="00E62115"/>
    <w:rsid w:val="00E6234F"/>
    <w:rsid w:val="00E623A6"/>
    <w:rsid w:val="00E626BF"/>
    <w:rsid w:val="00E6501C"/>
    <w:rsid w:val="00E651EE"/>
    <w:rsid w:val="00E652B5"/>
    <w:rsid w:val="00E65C74"/>
    <w:rsid w:val="00E662CE"/>
    <w:rsid w:val="00E666CC"/>
    <w:rsid w:val="00E668F2"/>
    <w:rsid w:val="00E67AC7"/>
    <w:rsid w:val="00E70A76"/>
    <w:rsid w:val="00E71172"/>
    <w:rsid w:val="00E71624"/>
    <w:rsid w:val="00E71AFD"/>
    <w:rsid w:val="00E72A23"/>
    <w:rsid w:val="00E7342C"/>
    <w:rsid w:val="00E7379D"/>
    <w:rsid w:val="00E74D8D"/>
    <w:rsid w:val="00E75B75"/>
    <w:rsid w:val="00E76363"/>
    <w:rsid w:val="00E765EC"/>
    <w:rsid w:val="00E76BF6"/>
    <w:rsid w:val="00E80092"/>
    <w:rsid w:val="00E80A5E"/>
    <w:rsid w:val="00E810A8"/>
    <w:rsid w:val="00E81FB0"/>
    <w:rsid w:val="00E822A7"/>
    <w:rsid w:val="00E828FB"/>
    <w:rsid w:val="00E83410"/>
    <w:rsid w:val="00E84108"/>
    <w:rsid w:val="00E85553"/>
    <w:rsid w:val="00E85F61"/>
    <w:rsid w:val="00E86562"/>
    <w:rsid w:val="00E8671B"/>
    <w:rsid w:val="00E869CB"/>
    <w:rsid w:val="00E86D85"/>
    <w:rsid w:val="00E90A16"/>
    <w:rsid w:val="00E90B87"/>
    <w:rsid w:val="00E90BE3"/>
    <w:rsid w:val="00E91D81"/>
    <w:rsid w:val="00E92BC2"/>
    <w:rsid w:val="00E932E2"/>
    <w:rsid w:val="00E947C1"/>
    <w:rsid w:val="00E94ECE"/>
    <w:rsid w:val="00E95EB2"/>
    <w:rsid w:val="00E95F50"/>
    <w:rsid w:val="00E9620A"/>
    <w:rsid w:val="00E9652E"/>
    <w:rsid w:val="00E971BA"/>
    <w:rsid w:val="00EA010E"/>
    <w:rsid w:val="00EA0774"/>
    <w:rsid w:val="00EA124A"/>
    <w:rsid w:val="00EA137A"/>
    <w:rsid w:val="00EA13AF"/>
    <w:rsid w:val="00EA1D76"/>
    <w:rsid w:val="00EA2030"/>
    <w:rsid w:val="00EA26C1"/>
    <w:rsid w:val="00EA370F"/>
    <w:rsid w:val="00EA3E22"/>
    <w:rsid w:val="00EA3FBB"/>
    <w:rsid w:val="00EA41A2"/>
    <w:rsid w:val="00EA45B7"/>
    <w:rsid w:val="00EA4F61"/>
    <w:rsid w:val="00EA5438"/>
    <w:rsid w:val="00EA6015"/>
    <w:rsid w:val="00EA6521"/>
    <w:rsid w:val="00EA6D7E"/>
    <w:rsid w:val="00EB038C"/>
    <w:rsid w:val="00EB0E3F"/>
    <w:rsid w:val="00EB1E33"/>
    <w:rsid w:val="00EB26FC"/>
    <w:rsid w:val="00EB2769"/>
    <w:rsid w:val="00EB3405"/>
    <w:rsid w:val="00EB4C95"/>
    <w:rsid w:val="00EB4DA6"/>
    <w:rsid w:val="00EB4DE4"/>
    <w:rsid w:val="00EB4E92"/>
    <w:rsid w:val="00EB5331"/>
    <w:rsid w:val="00EB7093"/>
    <w:rsid w:val="00EB74CC"/>
    <w:rsid w:val="00EB7A5B"/>
    <w:rsid w:val="00EB7B0A"/>
    <w:rsid w:val="00EC0881"/>
    <w:rsid w:val="00EC0B49"/>
    <w:rsid w:val="00EC13C3"/>
    <w:rsid w:val="00EC2311"/>
    <w:rsid w:val="00EC27FC"/>
    <w:rsid w:val="00EC670C"/>
    <w:rsid w:val="00ED0F8C"/>
    <w:rsid w:val="00ED1831"/>
    <w:rsid w:val="00ED1F6B"/>
    <w:rsid w:val="00ED258F"/>
    <w:rsid w:val="00ED2F55"/>
    <w:rsid w:val="00ED369F"/>
    <w:rsid w:val="00ED5C90"/>
    <w:rsid w:val="00ED5ED8"/>
    <w:rsid w:val="00ED69DA"/>
    <w:rsid w:val="00ED75BB"/>
    <w:rsid w:val="00EE0436"/>
    <w:rsid w:val="00EE0AAE"/>
    <w:rsid w:val="00EE0C95"/>
    <w:rsid w:val="00EE1734"/>
    <w:rsid w:val="00EE1CA3"/>
    <w:rsid w:val="00EE247A"/>
    <w:rsid w:val="00EE3487"/>
    <w:rsid w:val="00EE3F0F"/>
    <w:rsid w:val="00EF0199"/>
    <w:rsid w:val="00EF01A4"/>
    <w:rsid w:val="00EF0DA2"/>
    <w:rsid w:val="00EF0FF5"/>
    <w:rsid w:val="00EF154F"/>
    <w:rsid w:val="00EF6121"/>
    <w:rsid w:val="00F00E59"/>
    <w:rsid w:val="00F02BCC"/>
    <w:rsid w:val="00F03A98"/>
    <w:rsid w:val="00F04871"/>
    <w:rsid w:val="00F04F83"/>
    <w:rsid w:val="00F050CF"/>
    <w:rsid w:val="00F055B6"/>
    <w:rsid w:val="00F07266"/>
    <w:rsid w:val="00F120A7"/>
    <w:rsid w:val="00F1243A"/>
    <w:rsid w:val="00F12571"/>
    <w:rsid w:val="00F12607"/>
    <w:rsid w:val="00F128A1"/>
    <w:rsid w:val="00F15025"/>
    <w:rsid w:val="00F16313"/>
    <w:rsid w:val="00F16ADD"/>
    <w:rsid w:val="00F1700E"/>
    <w:rsid w:val="00F17103"/>
    <w:rsid w:val="00F205F4"/>
    <w:rsid w:val="00F20FF1"/>
    <w:rsid w:val="00F22014"/>
    <w:rsid w:val="00F23F29"/>
    <w:rsid w:val="00F24317"/>
    <w:rsid w:val="00F25693"/>
    <w:rsid w:val="00F25890"/>
    <w:rsid w:val="00F26232"/>
    <w:rsid w:val="00F27072"/>
    <w:rsid w:val="00F27A9D"/>
    <w:rsid w:val="00F3031D"/>
    <w:rsid w:val="00F303BC"/>
    <w:rsid w:val="00F30D4B"/>
    <w:rsid w:val="00F3136E"/>
    <w:rsid w:val="00F31D02"/>
    <w:rsid w:val="00F322B2"/>
    <w:rsid w:val="00F32641"/>
    <w:rsid w:val="00F32E4A"/>
    <w:rsid w:val="00F333E1"/>
    <w:rsid w:val="00F33CE4"/>
    <w:rsid w:val="00F340DA"/>
    <w:rsid w:val="00F344D3"/>
    <w:rsid w:val="00F34CF2"/>
    <w:rsid w:val="00F34D64"/>
    <w:rsid w:val="00F3514E"/>
    <w:rsid w:val="00F35457"/>
    <w:rsid w:val="00F3595B"/>
    <w:rsid w:val="00F367F3"/>
    <w:rsid w:val="00F36A26"/>
    <w:rsid w:val="00F36EE8"/>
    <w:rsid w:val="00F40140"/>
    <w:rsid w:val="00F4056C"/>
    <w:rsid w:val="00F40AC6"/>
    <w:rsid w:val="00F410C7"/>
    <w:rsid w:val="00F41F54"/>
    <w:rsid w:val="00F42065"/>
    <w:rsid w:val="00F426A6"/>
    <w:rsid w:val="00F429FD"/>
    <w:rsid w:val="00F443C4"/>
    <w:rsid w:val="00F452A7"/>
    <w:rsid w:val="00F4623C"/>
    <w:rsid w:val="00F4626B"/>
    <w:rsid w:val="00F466F3"/>
    <w:rsid w:val="00F4730C"/>
    <w:rsid w:val="00F47DB1"/>
    <w:rsid w:val="00F50BD2"/>
    <w:rsid w:val="00F50F69"/>
    <w:rsid w:val="00F515A7"/>
    <w:rsid w:val="00F51853"/>
    <w:rsid w:val="00F51DCC"/>
    <w:rsid w:val="00F5276E"/>
    <w:rsid w:val="00F527E1"/>
    <w:rsid w:val="00F52C87"/>
    <w:rsid w:val="00F55A3F"/>
    <w:rsid w:val="00F56399"/>
    <w:rsid w:val="00F570DE"/>
    <w:rsid w:val="00F574EB"/>
    <w:rsid w:val="00F60249"/>
    <w:rsid w:val="00F604CC"/>
    <w:rsid w:val="00F632ED"/>
    <w:rsid w:val="00F636F3"/>
    <w:rsid w:val="00F63706"/>
    <w:rsid w:val="00F646FD"/>
    <w:rsid w:val="00F64CA8"/>
    <w:rsid w:val="00F651AD"/>
    <w:rsid w:val="00F6527C"/>
    <w:rsid w:val="00F6565A"/>
    <w:rsid w:val="00F65BCE"/>
    <w:rsid w:val="00F65F35"/>
    <w:rsid w:val="00F66563"/>
    <w:rsid w:val="00F6758F"/>
    <w:rsid w:val="00F70891"/>
    <w:rsid w:val="00F70B5B"/>
    <w:rsid w:val="00F71086"/>
    <w:rsid w:val="00F71595"/>
    <w:rsid w:val="00F71730"/>
    <w:rsid w:val="00F7199E"/>
    <w:rsid w:val="00F7237B"/>
    <w:rsid w:val="00F72475"/>
    <w:rsid w:val="00F72769"/>
    <w:rsid w:val="00F72F97"/>
    <w:rsid w:val="00F734B6"/>
    <w:rsid w:val="00F73EBC"/>
    <w:rsid w:val="00F740DB"/>
    <w:rsid w:val="00F746E3"/>
    <w:rsid w:val="00F75A22"/>
    <w:rsid w:val="00F7709C"/>
    <w:rsid w:val="00F7750A"/>
    <w:rsid w:val="00F77551"/>
    <w:rsid w:val="00F80006"/>
    <w:rsid w:val="00F80084"/>
    <w:rsid w:val="00F809E0"/>
    <w:rsid w:val="00F80FE9"/>
    <w:rsid w:val="00F81DDB"/>
    <w:rsid w:val="00F81EAD"/>
    <w:rsid w:val="00F8261E"/>
    <w:rsid w:val="00F82DCC"/>
    <w:rsid w:val="00F83458"/>
    <w:rsid w:val="00F83480"/>
    <w:rsid w:val="00F84EF0"/>
    <w:rsid w:val="00F852E2"/>
    <w:rsid w:val="00F87679"/>
    <w:rsid w:val="00F90B1D"/>
    <w:rsid w:val="00F90FA2"/>
    <w:rsid w:val="00F91731"/>
    <w:rsid w:val="00F91BD9"/>
    <w:rsid w:val="00F92200"/>
    <w:rsid w:val="00F92F0E"/>
    <w:rsid w:val="00F93A03"/>
    <w:rsid w:val="00F94A7D"/>
    <w:rsid w:val="00F94FED"/>
    <w:rsid w:val="00F95676"/>
    <w:rsid w:val="00F96401"/>
    <w:rsid w:val="00F96499"/>
    <w:rsid w:val="00F972FF"/>
    <w:rsid w:val="00F97394"/>
    <w:rsid w:val="00FA005E"/>
    <w:rsid w:val="00FA0368"/>
    <w:rsid w:val="00FA3C08"/>
    <w:rsid w:val="00FA3F8B"/>
    <w:rsid w:val="00FA4E8A"/>
    <w:rsid w:val="00FA5B5B"/>
    <w:rsid w:val="00FA6183"/>
    <w:rsid w:val="00FA6B09"/>
    <w:rsid w:val="00FA767D"/>
    <w:rsid w:val="00FB29E8"/>
    <w:rsid w:val="00FB4AA4"/>
    <w:rsid w:val="00FB589D"/>
    <w:rsid w:val="00FB6723"/>
    <w:rsid w:val="00FB6E51"/>
    <w:rsid w:val="00FB7009"/>
    <w:rsid w:val="00FC01A2"/>
    <w:rsid w:val="00FC0CE1"/>
    <w:rsid w:val="00FC1026"/>
    <w:rsid w:val="00FC2CBC"/>
    <w:rsid w:val="00FC367C"/>
    <w:rsid w:val="00FC3897"/>
    <w:rsid w:val="00FC3C96"/>
    <w:rsid w:val="00FC4B7E"/>
    <w:rsid w:val="00FC653A"/>
    <w:rsid w:val="00FD1739"/>
    <w:rsid w:val="00FD18C9"/>
    <w:rsid w:val="00FD1993"/>
    <w:rsid w:val="00FD1EC3"/>
    <w:rsid w:val="00FD2470"/>
    <w:rsid w:val="00FD3D9E"/>
    <w:rsid w:val="00FD472D"/>
    <w:rsid w:val="00FD4DAB"/>
    <w:rsid w:val="00FD55F6"/>
    <w:rsid w:val="00FD5823"/>
    <w:rsid w:val="00FD6661"/>
    <w:rsid w:val="00FD71D4"/>
    <w:rsid w:val="00FD7BE0"/>
    <w:rsid w:val="00FD7F6A"/>
    <w:rsid w:val="00FE0F28"/>
    <w:rsid w:val="00FE194D"/>
    <w:rsid w:val="00FE1C27"/>
    <w:rsid w:val="00FE2333"/>
    <w:rsid w:val="00FE2566"/>
    <w:rsid w:val="00FE2D88"/>
    <w:rsid w:val="00FE34A7"/>
    <w:rsid w:val="00FE3DC3"/>
    <w:rsid w:val="00FE4918"/>
    <w:rsid w:val="00FE550C"/>
    <w:rsid w:val="00FE597C"/>
    <w:rsid w:val="00FE5A3A"/>
    <w:rsid w:val="00FE5C31"/>
    <w:rsid w:val="00FE5E1E"/>
    <w:rsid w:val="00FE7C51"/>
    <w:rsid w:val="00FF0BFD"/>
    <w:rsid w:val="00FF1B0E"/>
    <w:rsid w:val="00FF22C1"/>
    <w:rsid w:val="00FF32EE"/>
    <w:rsid w:val="00FF57A7"/>
    <w:rsid w:val="00FF5E85"/>
    <w:rsid w:val="00FF6534"/>
    <w:rsid w:val="00FF748B"/>
    <w:rsid w:val="01475861"/>
    <w:rsid w:val="019057C2"/>
    <w:rsid w:val="01A26154"/>
    <w:rsid w:val="01F9162E"/>
    <w:rsid w:val="02451EF0"/>
    <w:rsid w:val="034603A8"/>
    <w:rsid w:val="03DA2E95"/>
    <w:rsid w:val="041C61E0"/>
    <w:rsid w:val="060F639F"/>
    <w:rsid w:val="068D410A"/>
    <w:rsid w:val="06E243F4"/>
    <w:rsid w:val="079822E4"/>
    <w:rsid w:val="079B4624"/>
    <w:rsid w:val="079C4ECC"/>
    <w:rsid w:val="08342C37"/>
    <w:rsid w:val="083F37B9"/>
    <w:rsid w:val="09BB0B6F"/>
    <w:rsid w:val="0A48611E"/>
    <w:rsid w:val="0AA21F44"/>
    <w:rsid w:val="0AB50EB6"/>
    <w:rsid w:val="0AE8297F"/>
    <w:rsid w:val="0B771AD1"/>
    <w:rsid w:val="0C202E39"/>
    <w:rsid w:val="0C551573"/>
    <w:rsid w:val="0C635DBF"/>
    <w:rsid w:val="0CBF6932"/>
    <w:rsid w:val="0D895A26"/>
    <w:rsid w:val="0EF80318"/>
    <w:rsid w:val="10053384"/>
    <w:rsid w:val="10F35BCD"/>
    <w:rsid w:val="11433ABD"/>
    <w:rsid w:val="115E23ED"/>
    <w:rsid w:val="11912645"/>
    <w:rsid w:val="12AC185B"/>
    <w:rsid w:val="12EF1238"/>
    <w:rsid w:val="13FE699E"/>
    <w:rsid w:val="14341598"/>
    <w:rsid w:val="147A5E14"/>
    <w:rsid w:val="15826B92"/>
    <w:rsid w:val="16596540"/>
    <w:rsid w:val="178E5285"/>
    <w:rsid w:val="17D649B0"/>
    <w:rsid w:val="17ED4E3A"/>
    <w:rsid w:val="18ED7A84"/>
    <w:rsid w:val="19892C4B"/>
    <w:rsid w:val="199F16A2"/>
    <w:rsid w:val="1A076AE3"/>
    <w:rsid w:val="1A11375D"/>
    <w:rsid w:val="1AD75740"/>
    <w:rsid w:val="1B8E0389"/>
    <w:rsid w:val="1BCA5922"/>
    <w:rsid w:val="1BFB407F"/>
    <w:rsid w:val="1C8578EF"/>
    <w:rsid w:val="1CFA2FEE"/>
    <w:rsid w:val="1D58331A"/>
    <w:rsid w:val="1DB3761D"/>
    <w:rsid w:val="1DD7612F"/>
    <w:rsid w:val="1E4A4E87"/>
    <w:rsid w:val="1EA4679B"/>
    <w:rsid w:val="20887022"/>
    <w:rsid w:val="209D35B3"/>
    <w:rsid w:val="20A34F6B"/>
    <w:rsid w:val="212C7F0F"/>
    <w:rsid w:val="21640B67"/>
    <w:rsid w:val="228E7E8D"/>
    <w:rsid w:val="22A2550D"/>
    <w:rsid w:val="2355793E"/>
    <w:rsid w:val="23F5001F"/>
    <w:rsid w:val="24927AA1"/>
    <w:rsid w:val="25FB0E1C"/>
    <w:rsid w:val="268B6635"/>
    <w:rsid w:val="26A3616B"/>
    <w:rsid w:val="26DE6A9B"/>
    <w:rsid w:val="271B1675"/>
    <w:rsid w:val="27365E1D"/>
    <w:rsid w:val="27F967E2"/>
    <w:rsid w:val="28164759"/>
    <w:rsid w:val="281A7D03"/>
    <w:rsid w:val="284E4BB0"/>
    <w:rsid w:val="287005FD"/>
    <w:rsid w:val="2922356F"/>
    <w:rsid w:val="29FB2E0A"/>
    <w:rsid w:val="2A054378"/>
    <w:rsid w:val="2A80786F"/>
    <w:rsid w:val="2A985217"/>
    <w:rsid w:val="2AA01F44"/>
    <w:rsid w:val="2B0F72A0"/>
    <w:rsid w:val="2B631327"/>
    <w:rsid w:val="2BB01E27"/>
    <w:rsid w:val="2BCD443F"/>
    <w:rsid w:val="2C424A0B"/>
    <w:rsid w:val="2C491006"/>
    <w:rsid w:val="2C5F47AF"/>
    <w:rsid w:val="2C64054E"/>
    <w:rsid w:val="2D834DF9"/>
    <w:rsid w:val="2E414B6D"/>
    <w:rsid w:val="2EC47641"/>
    <w:rsid w:val="2F162EF9"/>
    <w:rsid w:val="2FD70484"/>
    <w:rsid w:val="2FF30E4D"/>
    <w:rsid w:val="30921C74"/>
    <w:rsid w:val="32025654"/>
    <w:rsid w:val="323E5792"/>
    <w:rsid w:val="32C24615"/>
    <w:rsid w:val="354D022A"/>
    <w:rsid w:val="35A93374"/>
    <w:rsid w:val="35E11964"/>
    <w:rsid w:val="36904DC8"/>
    <w:rsid w:val="3711181B"/>
    <w:rsid w:val="379F4F25"/>
    <w:rsid w:val="37D54EE1"/>
    <w:rsid w:val="37DF2A7D"/>
    <w:rsid w:val="38AD5420"/>
    <w:rsid w:val="38DF5BDE"/>
    <w:rsid w:val="39520D59"/>
    <w:rsid w:val="39624824"/>
    <w:rsid w:val="39CC2359"/>
    <w:rsid w:val="3A514B99"/>
    <w:rsid w:val="3A913D98"/>
    <w:rsid w:val="3B0E0390"/>
    <w:rsid w:val="3B1060C3"/>
    <w:rsid w:val="3B4C6142"/>
    <w:rsid w:val="3B604D87"/>
    <w:rsid w:val="3C1829D3"/>
    <w:rsid w:val="3CBD5DF0"/>
    <w:rsid w:val="3CC651B1"/>
    <w:rsid w:val="3CEC3CFA"/>
    <w:rsid w:val="3E0E1EA7"/>
    <w:rsid w:val="3E1A2E51"/>
    <w:rsid w:val="3E621785"/>
    <w:rsid w:val="3E8C44B3"/>
    <w:rsid w:val="3F0B20A6"/>
    <w:rsid w:val="3F6F31DF"/>
    <w:rsid w:val="3FDD4A96"/>
    <w:rsid w:val="40572048"/>
    <w:rsid w:val="40772038"/>
    <w:rsid w:val="40FC6C91"/>
    <w:rsid w:val="414032D5"/>
    <w:rsid w:val="41A57469"/>
    <w:rsid w:val="41B95E88"/>
    <w:rsid w:val="41ED3DAB"/>
    <w:rsid w:val="428D3E6D"/>
    <w:rsid w:val="42C85828"/>
    <w:rsid w:val="43683074"/>
    <w:rsid w:val="43BD0DCD"/>
    <w:rsid w:val="44475F9B"/>
    <w:rsid w:val="454A7FD5"/>
    <w:rsid w:val="465C1EE6"/>
    <w:rsid w:val="46731EC8"/>
    <w:rsid w:val="4688064C"/>
    <w:rsid w:val="46FA152D"/>
    <w:rsid w:val="475C0266"/>
    <w:rsid w:val="475E52BA"/>
    <w:rsid w:val="49BF0B34"/>
    <w:rsid w:val="4AD91841"/>
    <w:rsid w:val="4ADA02F6"/>
    <w:rsid w:val="4AED1EF3"/>
    <w:rsid w:val="4B2D12E0"/>
    <w:rsid w:val="4B456E19"/>
    <w:rsid w:val="4C5D7803"/>
    <w:rsid w:val="4CAC1487"/>
    <w:rsid w:val="4DC653B3"/>
    <w:rsid w:val="4E8011B5"/>
    <w:rsid w:val="4F302082"/>
    <w:rsid w:val="4F727E69"/>
    <w:rsid w:val="4F9A3751"/>
    <w:rsid w:val="4FF35407"/>
    <w:rsid w:val="500B0BDE"/>
    <w:rsid w:val="50CE6984"/>
    <w:rsid w:val="50EA0C11"/>
    <w:rsid w:val="511A6F73"/>
    <w:rsid w:val="51435499"/>
    <w:rsid w:val="5164091A"/>
    <w:rsid w:val="523D6F96"/>
    <w:rsid w:val="52777942"/>
    <w:rsid w:val="52B77948"/>
    <w:rsid w:val="52D92ACB"/>
    <w:rsid w:val="52F92150"/>
    <w:rsid w:val="537C7574"/>
    <w:rsid w:val="53A27C30"/>
    <w:rsid w:val="53FB0C25"/>
    <w:rsid w:val="543716A2"/>
    <w:rsid w:val="54FF1CE0"/>
    <w:rsid w:val="55490792"/>
    <w:rsid w:val="55CA64DF"/>
    <w:rsid w:val="56157ECF"/>
    <w:rsid w:val="56FC6209"/>
    <w:rsid w:val="571C4900"/>
    <w:rsid w:val="57346055"/>
    <w:rsid w:val="57C43829"/>
    <w:rsid w:val="57F6635D"/>
    <w:rsid w:val="57FB65BE"/>
    <w:rsid w:val="58191035"/>
    <w:rsid w:val="582711ED"/>
    <w:rsid w:val="58423B87"/>
    <w:rsid w:val="587D0C08"/>
    <w:rsid w:val="58DD7D8F"/>
    <w:rsid w:val="58F54B75"/>
    <w:rsid w:val="59AD5116"/>
    <w:rsid w:val="5A0872F1"/>
    <w:rsid w:val="5A6C2E2F"/>
    <w:rsid w:val="5A7A05C5"/>
    <w:rsid w:val="5A953A59"/>
    <w:rsid w:val="5AB779E2"/>
    <w:rsid w:val="5AF44DA0"/>
    <w:rsid w:val="5B7148C2"/>
    <w:rsid w:val="5C2F5D63"/>
    <w:rsid w:val="5CA15373"/>
    <w:rsid w:val="5CC8592A"/>
    <w:rsid w:val="5D0A2D44"/>
    <w:rsid w:val="5D987486"/>
    <w:rsid w:val="5ECE1000"/>
    <w:rsid w:val="5F1B40DE"/>
    <w:rsid w:val="60394280"/>
    <w:rsid w:val="606D1B10"/>
    <w:rsid w:val="60917D07"/>
    <w:rsid w:val="60D84174"/>
    <w:rsid w:val="61455B05"/>
    <w:rsid w:val="619D1316"/>
    <w:rsid w:val="61C528DB"/>
    <w:rsid w:val="61F73122"/>
    <w:rsid w:val="624316F1"/>
    <w:rsid w:val="62AC43BF"/>
    <w:rsid w:val="631B2361"/>
    <w:rsid w:val="632410C5"/>
    <w:rsid w:val="63852CEE"/>
    <w:rsid w:val="639200B1"/>
    <w:rsid w:val="63930256"/>
    <w:rsid w:val="639800EF"/>
    <w:rsid w:val="64166CDF"/>
    <w:rsid w:val="643313D9"/>
    <w:rsid w:val="657411DD"/>
    <w:rsid w:val="65772998"/>
    <w:rsid w:val="657D0509"/>
    <w:rsid w:val="67A4598F"/>
    <w:rsid w:val="67AA7775"/>
    <w:rsid w:val="67B632CC"/>
    <w:rsid w:val="67B919A2"/>
    <w:rsid w:val="689628B0"/>
    <w:rsid w:val="69593EBE"/>
    <w:rsid w:val="6A513F1E"/>
    <w:rsid w:val="6A5E5914"/>
    <w:rsid w:val="6AEF77E0"/>
    <w:rsid w:val="6B5A2A62"/>
    <w:rsid w:val="6B93598A"/>
    <w:rsid w:val="6BAF451A"/>
    <w:rsid w:val="6BDC612A"/>
    <w:rsid w:val="6BE443D8"/>
    <w:rsid w:val="6C364336"/>
    <w:rsid w:val="6C867DEE"/>
    <w:rsid w:val="6CA1081C"/>
    <w:rsid w:val="6CA953BA"/>
    <w:rsid w:val="6CAF563A"/>
    <w:rsid w:val="6CFC52D5"/>
    <w:rsid w:val="6DDE1A35"/>
    <w:rsid w:val="6E7C58D5"/>
    <w:rsid w:val="6EB76ED5"/>
    <w:rsid w:val="6EEA25EF"/>
    <w:rsid w:val="6F1629A4"/>
    <w:rsid w:val="6F7044D6"/>
    <w:rsid w:val="6FE969BF"/>
    <w:rsid w:val="711F0DCF"/>
    <w:rsid w:val="71686C25"/>
    <w:rsid w:val="71DD2746"/>
    <w:rsid w:val="72B5044F"/>
    <w:rsid w:val="7427484F"/>
    <w:rsid w:val="7453389F"/>
    <w:rsid w:val="7472284A"/>
    <w:rsid w:val="747A3ABA"/>
    <w:rsid w:val="75242643"/>
    <w:rsid w:val="75CE75D5"/>
    <w:rsid w:val="76657D21"/>
    <w:rsid w:val="768672DB"/>
    <w:rsid w:val="76B906FE"/>
    <w:rsid w:val="77115C42"/>
    <w:rsid w:val="77235339"/>
    <w:rsid w:val="787637D5"/>
    <w:rsid w:val="789F3DA6"/>
    <w:rsid w:val="78FF706C"/>
    <w:rsid w:val="79035800"/>
    <w:rsid w:val="79705BFF"/>
    <w:rsid w:val="7A217BF2"/>
    <w:rsid w:val="7A647605"/>
    <w:rsid w:val="7AD3734A"/>
    <w:rsid w:val="7B0E474D"/>
    <w:rsid w:val="7B725FBC"/>
    <w:rsid w:val="7B762E74"/>
    <w:rsid w:val="7D3F3435"/>
    <w:rsid w:val="7DB122DD"/>
    <w:rsid w:val="7DDF113F"/>
    <w:rsid w:val="7EE001CD"/>
    <w:rsid w:val="7EE90EDE"/>
    <w:rsid w:val="7F6F2CC2"/>
    <w:rsid w:val="7FCA12E0"/>
    <w:rsid w:val="7FFB2193"/>
    <w:rsid w:val="7FFC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70"/>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68"/>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242"/>
    <w:qFormat/>
    <w:uiPriority w:val="0"/>
    <w:rPr>
      <w:rFonts w:ascii="仿宋_GB2312" w:eastAsia="仿宋_GB2312"/>
      <w:sz w:val="32"/>
    </w:rPr>
  </w:style>
  <w:style w:type="paragraph" w:customStyle="1" w:styleId="3">
    <w:name w:val="目录 53"/>
    <w:next w:val="1"/>
    <w:qFormat/>
    <w:uiPriority w:val="0"/>
    <w:pPr>
      <w:wordWrap w:val="0"/>
      <w:ind w:left="1275"/>
      <w:jc w:val="both"/>
    </w:pPr>
    <w:rPr>
      <w:rFonts w:ascii="Calibri" w:hAnsi="Calibri" w:eastAsia="宋体" w:cs="Times New Roman"/>
      <w:sz w:val="21"/>
      <w:szCs w:val="22"/>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780"/>
      </w:tabs>
      <w:spacing w:line="360" w:lineRule="auto"/>
      <w:ind w:left="425" w:hanging="425"/>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9"/>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88"/>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index 4"/>
    <w:basedOn w:val="1"/>
    <w:next w:val="1"/>
    <w:qFormat/>
    <w:uiPriority w:val="0"/>
    <w:pPr>
      <w:ind w:left="600" w:leftChars="600"/>
      <w:jc w:val="left"/>
    </w:pPr>
    <w:rPr>
      <w:rFonts w:ascii="DFKai-SB" w:eastAsia="DFKai-SB"/>
      <w:lang w:eastAsia="zh-TW"/>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96"/>
    <w:qFormat/>
    <w:uiPriority w:val="0"/>
  </w:style>
  <w:style w:type="paragraph" w:styleId="35">
    <w:name w:val="Body Text Indent 2"/>
    <w:basedOn w:val="1"/>
    <w:link w:val="75"/>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1"/>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99"/>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1"/>
    <w:next w:val="21"/>
    <w:link w:val="89"/>
    <w:qFormat/>
    <w:uiPriority w:val="0"/>
    <w:pPr>
      <w:adjustRightInd/>
      <w:spacing w:line="240" w:lineRule="auto"/>
      <w:textAlignment w:val="auto"/>
    </w:pPr>
  </w:style>
  <w:style w:type="paragraph" w:styleId="58">
    <w:name w:val="Body Text First Indent"/>
    <w:basedOn w:val="2"/>
    <w:qFormat/>
    <w:uiPriority w:val="0"/>
    <w:pPr>
      <w:spacing w:line="360" w:lineRule="auto"/>
      <w:ind w:firstLine="420"/>
    </w:pPr>
    <w:rPr>
      <w:rFonts w:ascii="宋体" w:hAnsi="宋体"/>
      <w:sz w:val="24"/>
    </w:rPr>
  </w:style>
  <w:style w:type="paragraph" w:styleId="59">
    <w:name w:val="Body Text First Indent 2"/>
    <w:basedOn w:val="24"/>
    <w:link w:val="99"/>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basedOn w:val="61"/>
    <w:qFormat/>
    <w:uiPriority w:val="0"/>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3 字符"/>
    <w:link w:val="6"/>
    <w:qFormat/>
    <w:uiPriority w:val="0"/>
    <w:rPr>
      <w:rFonts w:eastAsia="宋体"/>
      <w:b/>
      <w:kern w:val="2"/>
      <w:sz w:val="32"/>
      <w:lang w:val="en-US" w:eastAsia="zh-CN"/>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1 字符"/>
    <w:basedOn w:val="61"/>
    <w:link w:val="4"/>
    <w:qFormat/>
    <w:uiPriority w:val="0"/>
    <w:rPr>
      <w:rFonts w:ascii="宋体"/>
      <w:kern w:val="2"/>
      <w:sz w:val="28"/>
    </w:rPr>
  </w:style>
  <w:style w:type="character" w:customStyle="1" w:styleId="71">
    <w:name w:val="脚注文本 字符"/>
    <w:link w:val="42"/>
    <w:qFormat/>
    <w:uiPriority w:val="0"/>
    <w:rPr>
      <w:kern w:val="2"/>
      <w:sz w:val="18"/>
    </w:rPr>
  </w:style>
  <w:style w:type="character" w:customStyle="1" w:styleId="72">
    <w:name w:val="Char Char2"/>
    <w:qFormat/>
    <w:uiPriority w:val="0"/>
    <w:rPr>
      <w:rFonts w:eastAsia="宋体"/>
      <w:kern w:val="2"/>
      <w:sz w:val="18"/>
      <w:lang w:val="en-US" w:eastAsia="zh-CN"/>
    </w:rPr>
  </w:style>
  <w:style w:type="character" w:customStyle="1" w:styleId="73">
    <w:name w:val="标书正文:  0.74 厘米 Char1"/>
    <w:qFormat/>
    <w:uiPriority w:val="0"/>
    <w:rPr>
      <w:rFonts w:eastAsia="宋体"/>
      <w:kern w:val="2"/>
      <w:sz w:val="24"/>
      <w:lang w:val="en-US" w:eastAsia="zh-CN"/>
    </w:rPr>
  </w:style>
  <w:style w:type="character" w:customStyle="1" w:styleId="74">
    <w:name w:val="Char Char11"/>
    <w:qFormat/>
    <w:uiPriority w:val="0"/>
    <w:rPr>
      <w:rFonts w:ascii="宋体"/>
      <w:kern w:val="2"/>
      <w:sz w:val="28"/>
    </w:rPr>
  </w:style>
  <w:style w:type="character" w:customStyle="1" w:styleId="75">
    <w:name w:val="正文文本缩进 2 字符"/>
    <w:link w:val="35"/>
    <w:qFormat/>
    <w:uiPriority w:val="0"/>
    <w:rPr>
      <w:kern w:val="2"/>
      <w:sz w:val="28"/>
    </w:rPr>
  </w:style>
  <w:style w:type="character" w:customStyle="1" w:styleId="76">
    <w:name w:val="Char Char7"/>
    <w:qFormat/>
    <w:uiPriority w:val="0"/>
    <w:rPr>
      <w:rFonts w:ascii="宋体" w:hAnsi="宋体" w:eastAsia="宋体"/>
      <w:kern w:val="2"/>
      <w:sz w:val="28"/>
    </w:rPr>
  </w:style>
  <w:style w:type="character" w:customStyle="1" w:styleId="77">
    <w:name w:val="content-white1"/>
    <w:qFormat/>
    <w:uiPriority w:val="0"/>
    <w:rPr>
      <w:color w:val="auto"/>
      <w:sz w:val="18"/>
      <w:u w:val="none"/>
    </w:rPr>
  </w:style>
  <w:style w:type="character" w:customStyle="1" w:styleId="78">
    <w:name w:val="Char Char6"/>
    <w:qFormat/>
    <w:uiPriority w:val="0"/>
    <w:rPr>
      <w:rFonts w:ascii="仿宋_GB2312" w:eastAsia="仿宋_GB2312"/>
      <w:kern w:val="2"/>
      <w:sz w:val="32"/>
    </w:rPr>
  </w:style>
  <w:style w:type="character" w:customStyle="1" w:styleId="79">
    <w:name w:val="批注文字 字符"/>
    <w:link w:val="21"/>
    <w:qFormat/>
    <w:uiPriority w:val="0"/>
    <w:rPr>
      <w:sz w:val="24"/>
    </w:rPr>
  </w:style>
  <w:style w:type="character" w:customStyle="1" w:styleId="80">
    <w:name w:val="未命名11"/>
    <w:qFormat/>
    <w:uiPriority w:val="0"/>
    <w:rPr>
      <w:color w:val="77FFFF"/>
      <w:sz w:val="24"/>
    </w:rPr>
  </w:style>
  <w:style w:type="character" w:customStyle="1" w:styleId="81">
    <w:name w:val="Char Char3"/>
    <w:qFormat/>
    <w:uiPriority w:val="0"/>
    <w:rPr>
      <w:rFonts w:eastAsia="宋体"/>
      <w:kern w:val="2"/>
      <w:sz w:val="18"/>
      <w:lang w:val="en-US" w:eastAsia="zh-CN"/>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font1"/>
    <w:qFormat/>
    <w:uiPriority w:val="0"/>
    <w:rPr>
      <w:color w:val="000000"/>
      <w:sz w:val="18"/>
    </w:rPr>
  </w:style>
  <w:style w:type="character" w:customStyle="1" w:styleId="84">
    <w:name w:val="Char Char4"/>
    <w:qFormat/>
    <w:uiPriority w:val="0"/>
    <w:rPr>
      <w:rFonts w:eastAsia="宋体"/>
      <w:b/>
      <w:kern w:val="2"/>
      <w:sz w:val="21"/>
      <w:lang w:val="en-US" w:eastAsia="zh-CN"/>
    </w:rPr>
  </w:style>
  <w:style w:type="character" w:customStyle="1" w:styleId="85">
    <w:name w:val="访问过的超链接1"/>
    <w:qFormat/>
    <w:uiPriority w:val="0"/>
    <w:rPr>
      <w:color w:val="800080"/>
      <w:u w:val="single"/>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正文文本缩进 字符"/>
    <w:link w:val="24"/>
    <w:qFormat/>
    <w:uiPriority w:val="0"/>
    <w:rPr>
      <w:kern w:val="2"/>
      <w:sz w:val="44"/>
    </w:rPr>
  </w:style>
  <w:style w:type="character" w:customStyle="1" w:styleId="89">
    <w:name w:val="批注主题 字符"/>
    <w:basedOn w:val="79"/>
    <w:link w:val="57"/>
    <w:qFormat/>
    <w:uiPriority w:val="0"/>
    <w:rPr>
      <w:sz w:val="24"/>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Text Char1 Char"/>
    <w:qFormat/>
    <w:uiPriority w:val="0"/>
    <w:rPr>
      <w:rFonts w:ascii="Arial" w:hAnsi="Arial"/>
      <w:kern w:val="2"/>
      <w:sz w:val="18"/>
      <w:lang w:val="en-US" w:eastAsia="zh-CN" w:bidi="ar-SA"/>
    </w:rPr>
  </w:style>
  <w:style w:type="character" w:customStyle="1" w:styleId="92">
    <w:name w:val="文字 Char"/>
    <w:link w:val="93"/>
    <w:qFormat/>
    <w:uiPriority w:val="0"/>
    <w:rPr>
      <w:rFonts w:ascii="宋体"/>
      <w:kern w:val="2"/>
      <w:sz w:val="28"/>
    </w:rPr>
  </w:style>
  <w:style w:type="paragraph" w:customStyle="1" w:styleId="93">
    <w:name w:val="文字"/>
    <w:basedOn w:val="1"/>
    <w:link w:val="92"/>
    <w:qFormat/>
    <w:uiPriority w:val="0"/>
    <w:pPr>
      <w:tabs>
        <w:tab w:val="left" w:pos="8520"/>
      </w:tabs>
      <w:spacing w:line="312" w:lineRule="auto"/>
      <w:ind w:right="-210" w:firstLine="556"/>
    </w:pPr>
    <w:rPr>
      <w:rFonts w:ascii="宋体"/>
    </w:rPr>
  </w:style>
  <w:style w:type="character" w:customStyle="1" w:styleId="94">
    <w:name w:val="H2 Char"/>
    <w:qFormat/>
    <w:uiPriority w:val="0"/>
    <w:rPr>
      <w:rFonts w:ascii="Arial" w:hAnsi="Arial" w:eastAsia="宋体"/>
      <w:kern w:val="2"/>
      <w:sz w:val="28"/>
      <w:lang w:val="en-US" w:eastAsia="zh-CN"/>
    </w:rPr>
  </w:style>
  <w:style w:type="character" w:customStyle="1" w:styleId="95">
    <w:name w:val="样式 宋体"/>
    <w:qFormat/>
    <w:uiPriority w:val="0"/>
    <w:rPr>
      <w:rFonts w:ascii="宋体" w:hAnsi="宋体" w:eastAsia="宋体"/>
      <w:sz w:val="28"/>
    </w:rPr>
  </w:style>
  <w:style w:type="character" w:customStyle="1" w:styleId="96">
    <w:name w:val="日期 字符"/>
    <w:link w:val="34"/>
    <w:qFormat/>
    <w:uiPriority w:val="0"/>
    <w:rPr>
      <w:kern w:val="2"/>
      <w:sz w:val="28"/>
    </w:rPr>
  </w:style>
  <w:style w:type="character" w:customStyle="1" w:styleId="97">
    <w:name w:val="title_emph1"/>
    <w:qFormat/>
    <w:uiPriority w:val="0"/>
    <w:rPr>
      <w:rFonts w:hint="default" w:ascii="Arial" w:hAnsi="Arial"/>
      <w:b/>
      <w:sz w:val="20"/>
    </w:rPr>
  </w:style>
  <w:style w:type="character" w:customStyle="1" w:styleId="98">
    <w:name w:val="crowed11"/>
    <w:qFormat/>
    <w:uiPriority w:val="0"/>
    <w:rPr>
      <w:rFonts w:hint="default"/>
      <w:sz w:val="24"/>
    </w:rPr>
  </w:style>
  <w:style w:type="character" w:customStyle="1" w:styleId="99">
    <w:name w:val="正文首行缩进 2 字符"/>
    <w:basedOn w:val="88"/>
    <w:link w:val="59"/>
    <w:qFormat/>
    <w:uiPriority w:val="0"/>
    <w:rPr>
      <w:kern w:val="2"/>
      <w:sz w:val="44"/>
    </w:rPr>
  </w:style>
  <w:style w:type="character" w:customStyle="1" w:styleId="100">
    <w:name w:val="小 Char"/>
    <w:qFormat/>
    <w:uiPriority w:val="0"/>
    <w:rPr>
      <w:rFonts w:ascii="宋体" w:hAnsi="Courier New" w:eastAsia="宋体"/>
      <w:kern w:val="2"/>
      <w:sz w:val="21"/>
      <w:lang w:val="en-US" w:eastAsia="zh-CN" w:bidi="ar-SA"/>
    </w:rPr>
  </w:style>
  <w:style w:type="character" w:customStyle="1" w:styleId="101">
    <w:name w:val="top-det1"/>
    <w:qFormat/>
    <w:uiPriority w:val="0"/>
    <w:rPr>
      <w:b/>
      <w:color w:val="000000"/>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Table Text Char"/>
    <w:link w:val="104"/>
    <w:qFormat/>
    <w:uiPriority w:val="0"/>
    <w:rPr>
      <w:rFonts w:ascii="Arial" w:hAnsi="Arial"/>
      <w:kern w:val="2"/>
      <w:sz w:val="18"/>
      <w:lang w:val="en-US" w:eastAsia="zh-CN" w:bidi="ar-SA"/>
    </w:rPr>
  </w:style>
  <w:style w:type="paragraph" w:customStyle="1" w:styleId="104">
    <w:name w:val="Table Text"/>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正文 + 三号 Char"/>
    <w:qFormat/>
    <w:uiPriority w:val="0"/>
    <w:rPr>
      <w:rFonts w:eastAsia="宋体"/>
      <w:kern w:val="2"/>
      <w:sz w:val="21"/>
      <w:lang w:val="en-US" w:eastAsia="zh-CN"/>
    </w:rPr>
  </w:style>
  <w:style w:type="character" w:customStyle="1" w:styleId="106">
    <w:name w:val="v151"/>
    <w:qFormat/>
    <w:uiPriority w:val="0"/>
    <w:rPr>
      <w:sz w:val="18"/>
    </w:rPr>
  </w:style>
  <w:style w:type="paragraph" w:customStyle="1" w:styleId="107">
    <w:name w:val="样式 行距: 1.5 倍行距1"/>
    <w:basedOn w:val="1"/>
    <w:qFormat/>
    <w:uiPriority w:val="0"/>
    <w:pPr>
      <w:snapToGrid w:val="0"/>
    </w:pPr>
    <w:rPr>
      <w:sz w:val="21"/>
    </w:rPr>
  </w:style>
  <w:style w:type="paragraph" w:customStyle="1" w:styleId="10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0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1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11">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12">
    <w:name w:val="表格文本"/>
    <w:qFormat/>
    <w:uiPriority w:val="0"/>
    <w:pPr>
      <w:tabs>
        <w:tab w:val="decimal" w:pos="0"/>
      </w:tabs>
    </w:pPr>
    <w:rPr>
      <w:rFonts w:ascii="Arial" w:hAnsi="Arial" w:eastAsia="宋体" w:cs="Times New Roman"/>
      <w:sz w:val="21"/>
      <w:lang w:val="en-US" w:eastAsia="zh-CN" w:bidi="ar-SA"/>
    </w:rPr>
  </w:style>
  <w:style w:type="paragraph" w:customStyle="1" w:styleId="11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4">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15">
    <w:name w:val="Char2 Char Char Char Char Char Char"/>
    <w:basedOn w:val="1"/>
    <w:qFormat/>
    <w:uiPriority w:val="0"/>
    <w:rPr>
      <w:rFonts w:ascii="仿宋_GB2312"/>
      <w:b/>
      <w:sz w:val="30"/>
    </w:rPr>
  </w:style>
  <w:style w:type="paragraph" w:customStyle="1" w:styleId="116">
    <w:name w:val="修订1"/>
    <w:qFormat/>
    <w:uiPriority w:val="0"/>
    <w:rPr>
      <w:rFonts w:ascii="Calibri" w:hAnsi="Calibri" w:eastAsia="宋体" w:cs="Times New Roman"/>
      <w:kern w:val="2"/>
      <w:sz w:val="21"/>
      <w:lang w:val="en-US" w:eastAsia="zh-CN" w:bidi="ar-SA"/>
    </w:rPr>
  </w:style>
  <w:style w:type="paragraph" w:customStyle="1" w:styleId="117">
    <w:name w:val="00"/>
    <w:basedOn w:val="1"/>
    <w:qFormat/>
    <w:uiPriority w:val="0"/>
    <w:pPr>
      <w:autoSpaceDE w:val="0"/>
      <w:autoSpaceDN w:val="0"/>
      <w:adjustRightInd w:val="0"/>
      <w:jc w:val="left"/>
    </w:pPr>
    <w:rPr>
      <w:rFonts w:ascii="黑体" w:eastAsia="黑体"/>
      <w:b/>
      <w:kern w:val="0"/>
      <w:sz w:val="20"/>
    </w:rPr>
  </w:style>
  <w:style w:type="paragraph" w:customStyle="1" w:styleId="118">
    <w:name w:val="样式1"/>
    <w:basedOn w:val="7"/>
    <w:qFormat/>
    <w:uiPriority w:val="0"/>
    <w:pPr>
      <w:tabs>
        <w:tab w:val="left" w:pos="720"/>
      </w:tabs>
      <w:spacing w:before="500" w:after="260" w:line="560" w:lineRule="atLeast"/>
      <w:ind w:left="420" w:hanging="420"/>
    </w:pPr>
  </w:style>
  <w:style w:type="paragraph" w:customStyle="1" w:styleId="119">
    <w:name w:val="表格内文字"/>
    <w:basedOn w:val="32"/>
    <w:qFormat/>
    <w:uiPriority w:val="0"/>
    <w:pPr>
      <w:adjustRightInd w:val="0"/>
    </w:pPr>
    <w:rPr>
      <w:color w:val="000000"/>
      <w:lang w:val="en-GB"/>
    </w:rPr>
  </w:style>
  <w:style w:type="paragraph" w:customStyle="1" w:styleId="120">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21">
    <w:name w:val="Char Char Char Char Char Char Char"/>
    <w:basedOn w:val="1"/>
    <w:qFormat/>
    <w:uiPriority w:val="0"/>
    <w:rPr>
      <w:rFonts w:ascii="Tahoma" w:hAnsi="Tahoma"/>
      <w:sz w:val="24"/>
    </w:rPr>
  </w:style>
  <w:style w:type="paragraph" w:customStyle="1" w:styleId="122">
    <w:name w:val="Char1 Char Char Char"/>
    <w:basedOn w:val="1"/>
    <w:qFormat/>
    <w:uiPriority w:val="0"/>
    <w:rPr>
      <w:rFonts w:ascii="Tahoma" w:hAnsi="Tahoma"/>
      <w:sz w:val="24"/>
    </w:rPr>
  </w:style>
  <w:style w:type="paragraph" w:customStyle="1" w:styleId="123">
    <w:name w:val="标书正文:  0.74 厘米"/>
    <w:basedOn w:val="1"/>
    <w:qFormat/>
    <w:uiPriority w:val="0"/>
    <w:pPr>
      <w:snapToGrid w:val="0"/>
      <w:spacing w:line="360" w:lineRule="auto"/>
      <w:ind w:firstLine="420"/>
    </w:pPr>
    <w:rPr>
      <w:sz w:val="24"/>
    </w:rPr>
  </w:style>
  <w:style w:type="paragraph" w:customStyle="1" w:styleId="124">
    <w:name w:val="Char"/>
    <w:basedOn w:val="1"/>
    <w:qFormat/>
    <w:uiPriority w:val="0"/>
    <w:pPr>
      <w:spacing w:line="240" w:lineRule="atLeast"/>
      <w:ind w:left="420" w:firstLine="420"/>
    </w:pPr>
    <w:rPr>
      <w:kern w:val="0"/>
      <w:sz w:val="21"/>
    </w:rPr>
  </w:style>
  <w:style w:type="paragraph" w:customStyle="1" w:styleId="125">
    <w:name w:val="样式4"/>
    <w:basedOn w:val="7"/>
    <w:qFormat/>
    <w:uiPriority w:val="0"/>
    <w:pPr>
      <w:adjustRightInd w:val="0"/>
      <w:snapToGrid w:val="0"/>
    </w:pPr>
  </w:style>
  <w:style w:type="paragraph" w:customStyle="1" w:styleId="12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7">
    <w:name w:val="附录3"/>
    <w:basedOn w:val="1"/>
    <w:next w:val="1"/>
    <w:qFormat/>
    <w:uiPriority w:val="0"/>
    <w:pPr>
      <w:tabs>
        <w:tab w:val="left" w:pos="851"/>
      </w:tabs>
      <w:ind w:left="425" w:hanging="425"/>
      <w:outlineLvl w:val="2"/>
    </w:pPr>
    <w:rPr>
      <w:rFonts w:eastAsia="黑体"/>
      <w:b/>
      <w:sz w:val="32"/>
    </w:rPr>
  </w:style>
  <w:style w:type="paragraph" w:customStyle="1" w:styleId="128">
    <w:name w:val="文本1"/>
    <w:basedOn w:val="1"/>
    <w:qFormat/>
    <w:uiPriority w:val="0"/>
    <w:pPr>
      <w:adjustRightInd w:val="0"/>
      <w:spacing w:line="312" w:lineRule="atLeast"/>
      <w:jc w:val="center"/>
      <w:textAlignment w:val="baseline"/>
    </w:pPr>
    <w:rPr>
      <w:kern w:val="0"/>
      <w:sz w:val="18"/>
    </w:rPr>
  </w:style>
  <w:style w:type="paragraph" w:customStyle="1" w:styleId="129">
    <w:name w:val="Char Char1 Char"/>
    <w:basedOn w:val="1"/>
    <w:qFormat/>
    <w:uiPriority w:val="0"/>
    <w:rPr>
      <w:rFonts w:ascii="Tahoma" w:hAnsi="Tahoma"/>
      <w:sz w:val="24"/>
      <w:szCs w:val="24"/>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Char Char Char"/>
    <w:basedOn w:val="1"/>
    <w:qFormat/>
    <w:uiPriority w:val="0"/>
    <w:rPr>
      <w:rFonts w:ascii="Tahoma" w:hAnsi="Tahoma"/>
      <w:sz w:val="24"/>
    </w:rPr>
  </w:style>
  <w:style w:type="paragraph" w:customStyle="1" w:styleId="135">
    <w:name w:val="af"/>
    <w:basedOn w:val="1"/>
    <w:qFormat/>
    <w:uiPriority w:val="0"/>
    <w:pPr>
      <w:widowControl/>
      <w:spacing w:line="300" w:lineRule="atLeast"/>
      <w:jc w:val="left"/>
    </w:pPr>
    <w:rPr>
      <w:rFonts w:ascii="宋体" w:hAnsi="宋体"/>
      <w:kern w:val="0"/>
      <w:sz w:val="18"/>
    </w:rPr>
  </w:style>
  <w:style w:type="paragraph" w:customStyle="1" w:styleId="136">
    <w:name w:val="正文4"/>
    <w:basedOn w:val="1"/>
    <w:qFormat/>
    <w:uiPriority w:val="0"/>
    <w:pPr>
      <w:tabs>
        <w:tab w:val="left" w:pos="1275"/>
      </w:tabs>
      <w:spacing w:before="60" w:after="60" w:line="360" w:lineRule="auto"/>
      <w:ind w:left="820" w:leftChars="400" w:hanging="705"/>
    </w:pPr>
    <w:rPr>
      <w:sz w:val="24"/>
    </w:rPr>
  </w:style>
  <w:style w:type="paragraph" w:customStyle="1" w:styleId="137">
    <w:name w:val="Char Char14 Char Char"/>
    <w:basedOn w:val="1"/>
    <w:qFormat/>
    <w:uiPriority w:val="0"/>
    <w:rPr>
      <w:sz w:val="21"/>
      <w:szCs w:val="24"/>
    </w:rPr>
  </w:style>
  <w:style w:type="paragraph" w:customStyle="1" w:styleId="138">
    <w:name w:val="首行缩进 1"/>
    <w:basedOn w:val="1"/>
    <w:qFormat/>
    <w:uiPriority w:val="0"/>
    <w:pPr>
      <w:spacing w:after="120" w:line="360" w:lineRule="auto"/>
      <w:ind w:firstLine="200" w:firstLineChars="200"/>
    </w:pPr>
    <w:rPr>
      <w:sz w:val="24"/>
    </w:rPr>
  </w:style>
  <w:style w:type="paragraph" w:customStyle="1" w:styleId="139">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编号正文"/>
    <w:basedOn w:val="132"/>
    <w:qFormat/>
    <w:uiPriority w:val="0"/>
    <w:pPr>
      <w:snapToGrid/>
      <w:spacing w:line="360" w:lineRule="auto"/>
      <w:ind w:left="1407" w:hanging="1047"/>
      <w:jc w:val="left"/>
    </w:pPr>
    <w:rPr>
      <w:rFonts w:eastAsia="仿宋_GB2312"/>
    </w:rPr>
  </w:style>
  <w:style w:type="paragraph" w:customStyle="1" w:styleId="1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43">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6">
    <w:name w:val="一级条标题"/>
    <w:basedOn w:val="147"/>
    <w:next w:val="148"/>
    <w:qFormat/>
    <w:uiPriority w:val="0"/>
    <w:pPr>
      <w:spacing w:beforeLines="0" w:afterLines="0"/>
      <w:ind w:left="525"/>
      <w:outlineLvl w:val="2"/>
    </w:pPr>
    <w:rPr>
      <w:sz w:val="21"/>
    </w:rPr>
  </w:style>
  <w:style w:type="paragraph" w:customStyle="1" w:styleId="147">
    <w:name w:val="章标题"/>
    <w:next w:val="1"/>
    <w:qFormat/>
    <w:uiPriority w:val="0"/>
    <w:pPr>
      <w:spacing w:beforeLines="50" w:afterLines="50"/>
      <w:jc w:val="both"/>
      <w:outlineLvl w:val="1"/>
    </w:pPr>
    <w:rPr>
      <w:rFonts w:ascii="黑体" w:hAnsi="Calibri" w:eastAsia="黑体" w:cs="Times New Roman"/>
      <w:sz w:val="24"/>
      <w:lang w:val="en-US" w:eastAsia="zh-CN" w:bidi="ar-SA"/>
    </w:rPr>
  </w:style>
  <w:style w:type="paragraph" w:customStyle="1" w:styleId="14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图例"/>
    <w:basedOn w:val="1"/>
    <w:qFormat/>
    <w:uiPriority w:val="0"/>
    <w:pPr>
      <w:spacing w:before="120" w:after="120" w:line="360" w:lineRule="auto"/>
      <w:jc w:val="center"/>
    </w:pPr>
    <w:rPr>
      <w:rFonts w:eastAsia="仿宋_GB2312"/>
      <w:b/>
      <w:sz w:val="24"/>
    </w:rPr>
  </w:style>
  <w:style w:type="paragraph" w:customStyle="1" w:styleId="151">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4">
    <w:name w:val="表头样式"/>
    <w:basedOn w:val="1"/>
    <w:qFormat/>
    <w:uiPriority w:val="0"/>
    <w:pPr>
      <w:autoSpaceDE w:val="0"/>
      <w:autoSpaceDN w:val="0"/>
      <w:adjustRightInd w:val="0"/>
      <w:spacing w:line="360" w:lineRule="auto"/>
      <w:jc w:val="left"/>
    </w:pPr>
    <w:rPr>
      <w:b/>
      <w:kern w:val="0"/>
      <w:sz w:val="21"/>
    </w:rPr>
  </w:style>
  <w:style w:type="paragraph" w:customStyle="1" w:styleId="15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表文字"/>
    <w:qFormat/>
    <w:uiPriority w:val="0"/>
    <w:rPr>
      <w:rFonts w:ascii="宋体" w:hAnsi="Calibri" w:eastAsia="宋体" w:cs="Times New Roman"/>
      <w:kern w:val="2"/>
      <w:lang w:val="en-US" w:eastAsia="zh-CN" w:bidi="ar-SA"/>
    </w:rPr>
  </w:style>
  <w:style w:type="paragraph" w:customStyle="1" w:styleId="15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8">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59">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60">
    <w:name w:val="正文字缩2字"/>
    <w:basedOn w:val="1"/>
    <w:qFormat/>
    <w:uiPriority w:val="0"/>
    <w:pPr>
      <w:spacing w:before="60" w:after="60" w:line="360" w:lineRule="auto"/>
      <w:ind w:left="200" w:leftChars="200" w:firstLine="200" w:firstLineChars="200"/>
    </w:pPr>
    <w:rPr>
      <w:sz w:val="24"/>
    </w:rPr>
  </w:style>
  <w:style w:type="paragraph" w:customStyle="1" w:styleId="16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2">
    <w:name w:val="内容标题"/>
    <w:basedOn w:val="19"/>
    <w:qFormat/>
    <w:uiPriority w:val="0"/>
    <w:rPr>
      <w:rFonts w:ascii="Tahoma" w:hAnsi="Tahoma"/>
      <w:sz w:val="24"/>
    </w:rPr>
  </w:style>
  <w:style w:type="paragraph" w:customStyle="1" w:styleId="163">
    <w:name w:val="文章正文"/>
    <w:basedOn w:val="1"/>
    <w:qFormat/>
    <w:uiPriority w:val="0"/>
    <w:pPr>
      <w:ind w:firstLine="560" w:firstLineChars="200"/>
    </w:pPr>
    <w:rPr>
      <w:rFonts w:ascii="仿宋_GB2312" w:hAnsi="宋体" w:eastAsia="仿宋_GB2312"/>
      <w:color w:val="000000"/>
    </w:rPr>
  </w:style>
  <w:style w:type="paragraph" w:customStyle="1" w:styleId="164">
    <w:name w:val="段落正文"/>
    <w:basedOn w:val="1"/>
    <w:qFormat/>
    <w:uiPriority w:val="0"/>
    <w:pPr>
      <w:spacing w:beforeLines="50" w:line="360" w:lineRule="auto"/>
      <w:ind w:firstLine="200" w:firstLineChars="200"/>
    </w:pPr>
    <w:rPr>
      <w:spacing w:val="2"/>
      <w:sz w:val="24"/>
    </w:rPr>
  </w:style>
  <w:style w:type="paragraph" w:customStyle="1" w:styleId="165">
    <w:name w:val="正文1"/>
    <w:basedOn w:val="1"/>
    <w:qFormat/>
    <w:uiPriority w:val="0"/>
    <w:pPr>
      <w:spacing w:line="300" w:lineRule="auto"/>
      <w:ind w:firstLine="200" w:firstLineChars="200"/>
    </w:pPr>
    <w:rPr>
      <w:sz w:val="24"/>
    </w:rPr>
  </w:style>
  <w:style w:type="paragraph" w:customStyle="1" w:styleId="16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7">
    <w:name w:val="Table Contents"/>
    <w:basedOn w:val="2"/>
    <w:qFormat/>
    <w:uiPriority w:val="0"/>
    <w:pPr>
      <w:suppressAutoHyphens/>
      <w:jc w:val="left"/>
    </w:pPr>
    <w:rPr>
      <w:rFonts w:ascii="Times New Roman" w:eastAsia="Times New Roman"/>
      <w:kern w:val="0"/>
      <w:sz w:val="24"/>
    </w:rPr>
  </w:style>
  <w:style w:type="paragraph" w:customStyle="1" w:styleId="168">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6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70">
    <w:name w:val="文本框样式1"/>
    <w:basedOn w:val="1"/>
    <w:qFormat/>
    <w:uiPriority w:val="0"/>
    <w:pPr>
      <w:adjustRightInd w:val="0"/>
      <w:snapToGrid w:val="0"/>
      <w:spacing w:before="60" w:line="180" w:lineRule="exact"/>
      <w:jc w:val="center"/>
    </w:pPr>
    <w:rPr>
      <w:sz w:val="21"/>
    </w:rPr>
  </w:style>
  <w:style w:type="paragraph" w:customStyle="1" w:styleId="171">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72">
    <w:name w:val="关键词"/>
    <w:basedOn w:val="1"/>
    <w:next w:val="1"/>
    <w:qFormat/>
    <w:uiPriority w:val="0"/>
    <w:pPr>
      <w:spacing w:line="360" w:lineRule="auto"/>
    </w:pPr>
    <w:rPr>
      <w:rFonts w:eastAsia="黑体"/>
      <w:sz w:val="20"/>
    </w:rPr>
  </w:style>
  <w:style w:type="paragraph" w:customStyle="1" w:styleId="17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4">
    <w:name w:val="默认段落字体 Para Char Char Char Char Char Char Char"/>
    <w:basedOn w:val="1"/>
    <w:qFormat/>
    <w:uiPriority w:val="0"/>
    <w:rPr>
      <w:rFonts w:ascii="Tahoma" w:hAnsi="Tahoma"/>
      <w:sz w:val="24"/>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样式 正文缩进正文（首行缩进两字）表正文正文非缩进特点标题4段1 + 首行缩进:  2 字符"/>
    <w:basedOn w:val="17"/>
    <w:qFormat/>
    <w:uiPriority w:val="0"/>
    <w:pPr>
      <w:ind w:firstLine="480" w:firstLineChars="200"/>
    </w:pPr>
  </w:style>
  <w:style w:type="paragraph" w:customStyle="1" w:styleId="17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8">
    <w:name w:val="表头文本"/>
    <w:qFormat/>
    <w:uiPriority w:val="0"/>
    <w:pPr>
      <w:jc w:val="center"/>
    </w:pPr>
    <w:rPr>
      <w:rFonts w:ascii="Arial" w:hAnsi="Arial" w:eastAsia="宋体" w:cs="Times New Roman"/>
      <w:b/>
      <w:sz w:val="21"/>
      <w:lang w:val="en-US" w:eastAsia="zh-CN" w:bidi="ar-SA"/>
    </w:rPr>
  </w:style>
  <w:style w:type="paragraph" w:customStyle="1" w:styleId="179">
    <w:name w:val="简单回函地址"/>
    <w:basedOn w:val="1"/>
    <w:qFormat/>
    <w:uiPriority w:val="0"/>
    <w:pPr>
      <w:adjustRightInd w:val="0"/>
      <w:snapToGrid w:val="0"/>
      <w:spacing w:line="360" w:lineRule="auto"/>
    </w:pPr>
    <w:rPr>
      <w:sz w:val="24"/>
    </w:rPr>
  </w:style>
  <w:style w:type="paragraph" w:customStyle="1" w:styleId="18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1">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82">
    <w:name w:val="1.正文"/>
    <w:basedOn w:val="1"/>
    <w:qFormat/>
    <w:uiPriority w:val="0"/>
    <w:pPr>
      <w:spacing w:line="360" w:lineRule="auto"/>
      <w:ind w:left="540" w:leftChars="225" w:firstLine="540" w:firstLineChars="225"/>
    </w:pPr>
    <w:rPr>
      <w:sz w:val="24"/>
    </w:rPr>
  </w:style>
  <w:style w:type="paragraph" w:customStyle="1" w:styleId="183">
    <w:name w:val="Title - Date"/>
    <w:basedOn w:val="56"/>
    <w:next w:val="1"/>
    <w:qFormat/>
    <w:uiPriority w:val="0"/>
    <w:pPr>
      <w:spacing w:before="240" w:after="720"/>
    </w:pPr>
    <w:rPr>
      <w:sz w:val="28"/>
    </w:rPr>
  </w:style>
  <w:style w:type="paragraph" w:customStyle="1" w:styleId="184">
    <w:name w:val="正文表格"/>
    <w:basedOn w:val="1"/>
    <w:qFormat/>
    <w:uiPriority w:val="0"/>
    <w:pPr>
      <w:adjustRightInd w:val="0"/>
      <w:spacing w:before="40" w:after="40"/>
    </w:pPr>
    <w:rPr>
      <w:sz w:val="24"/>
    </w:rPr>
  </w:style>
  <w:style w:type="paragraph" w:customStyle="1" w:styleId="185">
    <w:name w:val="可研正文"/>
    <w:basedOn w:val="2"/>
    <w:qFormat/>
    <w:uiPriority w:val="0"/>
    <w:pPr>
      <w:adjustRightInd w:val="0"/>
      <w:snapToGrid w:val="0"/>
      <w:spacing w:line="440" w:lineRule="exact"/>
      <w:ind w:firstLine="567"/>
    </w:pPr>
    <w:rPr>
      <w:sz w:val="28"/>
    </w:rPr>
  </w:style>
  <w:style w:type="paragraph" w:customStyle="1" w:styleId="18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89">
    <w:name w:val="图片文字"/>
    <w:basedOn w:val="1"/>
    <w:qFormat/>
    <w:uiPriority w:val="0"/>
    <w:pPr>
      <w:spacing w:line="240" w:lineRule="atLeast"/>
      <w:jc w:val="center"/>
    </w:pPr>
    <w:rPr>
      <w:sz w:val="21"/>
    </w:rPr>
  </w:style>
  <w:style w:type="paragraph" w:customStyle="1" w:styleId="190">
    <w:name w:val="标题无"/>
    <w:basedOn w:val="1"/>
    <w:qFormat/>
    <w:uiPriority w:val="0"/>
    <w:pPr>
      <w:spacing w:line="360" w:lineRule="auto"/>
    </w:pPr>
    <w:rPr>
      <w:sz w:val="24"/>
    </w:rPr>
  </w:style>
  <w:style w:type="paragraph" w:customStyle="1" w:styleId="19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92">
    <w:name w:val="样式 首行缩进:  0.74 厘米"/>
    <w:basedOn w:val="1"/>
    <w:qFormat/>
    <w:uiPriority w:val="0"/>
    <w:pPr>
      <w:spacing w:line="360" w:lineRule="auto"/>
      <w:ind w:firstLine="420"/>
    </w:pPr>
    <w:rPr>
      <w:sz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正文文本 21"/>
    <w:basedOn w:val="1"/>
    <w:qFormat/>
    <w:uiPriority w:val="0"/>
    <w:pPr>
      <w:adjustRightInd w:val="0"/>
      <w:spacing w:before="120" w:line="360" w:lineRule="auto"/>
      <w:ind w:firstLine="480"/>
      <w:textAlignment w:val="baseline"/>
    </w:pPr>
    <w:rPr>
      <w:sz w:val="24"/>
    </w:rPr>
  </w:style>
  <w:style w:type="paragraph" w:customStyle="1" w:styleId="195">
    <w:name w:val="Note"/>
    <w:basedOn w:val="1"/>
    <w:qFormat/>
    <w:uiPriority w:val="0"/>
    <w:pPr>
      <w:pBdr>
        <w:top w:val="single" w:color="auto" w:sz="12" w:space="3"/>
        <w:bottom w:val="single" w:color="auto" w:sz="12" w:space="3"/>
      </w:pBdr>
      <w:spacing w:line="360" w:lineRule="auto"/>
    </w:pPr>
    <w:rPr>
      <w:sz w:val="24"/>
    </w:rPr>
  </w:style>
  <w:style w:type="paragraph" w:customStyle="1" w:styleId="19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7">
    <w:name w:val="二级列表"/>
    <w:basedOn w:val="164"/>
    <w:next w:val="164"/>
    <w:qFormat/>
    <w:uiPriority w:val="0"/>
    <w:pPr>
      <w:tabs>
        <w:tab w:val="left" w:pos="2120"/>
      </w:tabs>
      <w:ind w:firstLine="0" w:firstLineChars="0"/>
    </w:pPr>
    <w:rPr>
      <w:b/>
    </w:rPr>
  </w:style>
  <w:style w:type="paragraph" w:customStyle="1" w:styleId="19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9">
    <w:name w:val="Char Char Char Char Char Char Char Char Char Char Char Char Char Char Char Char"/>
    <w:basedOn w:val="1"/>
    <w:qFormat/>
    <w:uiPriority w:val="0"/>
    <w:pPr>
      <w:tabs>
        <w:tab w:val="left" w:pos="360"/>
      </w:tabs>
    </w:pPr>
    <w:rPr>
      <w:sz w:val="24"/>
    </w:rPr>
  </w:style>
  <w:style w:type="paragraph" w:customStyle="1" w:styleId="200">
    <w:name w:val="1"/>
    <w:basedOn w:val="1"/>
    <w:next w:val="32"/>
    <w:qFormat/>
    <w:uiPriority w:val="0"/>
    <w:rPr>
      <w:rFonts w:ascii="宋体" w:hAnsi="Courier New"/>
      <w:sz w:val="21"/>
    </w:rPr>
  </w:style>
  <w:style w:type="paragraph" w:customStyle="1" w:styleId="201">
    <w:name w:val="Char Char 字元 字元 字元 Char Char Char Char"/>
    <w:basedOn w:val="1"/>
    <w:qFormat/>
    <w:uiPriority w:val="0"/>
    <w:pPr>
      <w:adjustRightInd w:val="0"/>
      <w:spacing w:line="360" w:lineRule="auto"/>
    </w:pPr>
    <w:rPr>
      <w:kern w:val="0"/>
      <w:sz w:val="24"/>
    </w:rPr>
  </w:style>
  <w:style w:type="paragraph" w:customStyle="1" w:styleId="20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3">
    <w:name w:val="_Style 102"/>
    <w:basedOn w:val="1"/>
    <w:qFormat/>
    <w:uiPriority w:val="0"/>
    <w:pPr>
      <w:spacing w:line="360" w:lineRule="auto"/>
      <w:ind w:firstLine="200" w:firstLineChars="200"/>
    </w:pPr>
    <w:rPr>
      <w:rFonts w:ascii="宋体" w:hAnsi="宋体" w:cs="宋体"/>
      <w:sz w:val="24"/>
      <w:szCs w:val="24"/>
    </w:rPr>
  </w:style>
  <w:style w:type="paragraph" w:customStyle="1" w:styleId="204">
    <w:name w:val="标题 5（有编号）（绿盟科技）"/>
    <w:basedOn w:val="1"/>
    <w:next w:val="188"/>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7">
    <w:name w:val="摘要"/>
    <w:basedOn w:val="1"/>
    <w:next w:val="5"/>
    <w:qFormat/>
    <w:uiPriority w:val="0"/>
    <w:pPr>
      <w:spacing w:line="360" w:lineRule="auto"/>
    </w:pPr>
    <w:rPr>
      <w:rFonts w:eastAsia="黑体"/>
      <w:sz w:val="20"/>
    </w:rPr>
  </w:style>
  <w:style w:type="paragraph" w:customStyle="1" w:styleId="208">
    <w:name w:val="Char Char Char Char Char"/>
    <w:basedOn w:val="1"/>
    <w:qFormat/>
    <w:uiPriority w:val="0"/>
    <w:pPr>
      <w:tabs>
        <w:tab w:val="left" w:pos="425"/>
      </w:tabs>
      <w:ind w:left="1620" w:hanging="360"/>
    </w:pPr>
    <w:rPr>
      <w:rFonts w:ascii="Tahoma" w:hAnsi="Tahoma"/>
      <w:sz w:val="24"/>
    </w:rPr>
  </w:style>
  <w:style w:type="paragraph" w:customStyle="1" w:styleId="20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0">
    <w:name w:val="样式1xz"/>
    <w:basedOn w:val="1"/>
    <w:qFormat/>
    <w:uiPriority w:val="0"/>
    <w:pPr>
      <w:tabs>
        <w:tab w:val="left" w:pos="1050"/>
        <w:tab w:val="right" w:leader="dot" w:pos="8296"/>
      </w:tabs>
    </w:pPr>
    <w:rPr>
      <w:caps/>
      <w:spacing w:val="20"/>
      <w:sz w:val="24"/>
    </w:rPr>
  </w:style>
  <w:style w:type="paragraph" w:customStyle="1" w:styleId="21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2">
    <w:name w:val="首行缩进"/>
    <w:basedOn w:val="1"/>
    <w:qFormat/>
    <w:uiPriority w:val="0"/>
    <w:pPr>
      <w:tabs>
        <w:tab w:val="left" w:pos="540"/>
      </w:tabs>
      <w:spacing w:line="360" w:lineRule="auto"/>
      <w:ind w:left="540"/>
    </w:pPr>
    <w:rPr>
      <w:rFonts w:eastAsia="仿宋_GB2312"/>
    </w:rPr>
  </w:style>
  <w:style w:type="paragraph" w:customStyle="1" w:styleId="213">
    <w:name w:val="正文 + 三号"/>
    <w:basedOn w:val="1"/>
    <w:qFormat/>
    <w:uiPriority w:val="0"/>
    <w:rPr>
      <w:sz w:val="21"/>
    </w:rPr>
  </w:style>
  <w:style w:type="paragraph" w:customStyle="1" w:styleId="21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5">
    <w:name w:val="Char Char Char Char Char Char Char1"/>
    <w:basedOn w:val="19"/>
    <w:qFormat/>
    <w:uiPriority w:val="0"/>
    <w:rPr>
      <w:rFonts w:ascii="宋体" w:hAnsi="Tahoma"/>
    </w:rPr>
  </w:style>
  <w:style w:type="paragraph" w:customStyle="1" w:styleId="21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7">
    <w:name w:val="样式 宋体 五号 行距: 单倍行距"/>
    <w:basedOn w:val="1"/>
    <w:qFormat/>
    <w:uiPriority w:val="0"/>
    <w:pPr>
      <w:adjustRightInd w:val="0"/>
      <w:jc w:val="left"/>
    </w:pPr>
    <w:rPr>
      <w:rFonts w:ascii="宋体" w:hAnsi="宋体"/>
      <w:kern w:val="0"/>
      <w:sz w:val="21"/>
    </w:rPr>
  </w:style>
  <w:style w:type="paragraph" w:customStyle="1" w:styleId="21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0">
    <w:name w:val="样式2"/>
    <w:basedOn w:val="7"/>
    <w:qFormat/>
    <w:uiPriority w:val="0"/>
    <w:pPr>
      <w:tabs>
        <w:tab w:val="left" w:pos="720"/>
      </w:tabs>
      <w:spacing w:before="560" w:line="400" w:lineRule="exact"/>
      <w:ind w:left="420" w:hanging="420"/>
      <w:jc w:val="center"/>
      <w:outlineLvl w:val="0"/>
    </w:pPr>
    <w:rPr>
      <w:b w:val="0"/>
      <w:sz w:val="44"/>
    </w:rPr>
  </w:style>
  <w:style w:type="paragraph" w:customStyle="1" w:styleId="221">
    <w:name w:val="正文文本缩进 21"/>
    <w:basedOn w:val="1"/>
    <w:qFormat/>
    <w:uiPriority w:val="0"/>
    <w:pPr>
      <w:adjustRightInd w:val="0"/>
      <w:spacing w:before="120"/>
      <w:ind w:firstLine="420"/>
      <w:textAlignment w:val="baseline"/>
    </w:pPr>
    <w:rPr>
      <w:sz w:val="24"/>
    </w:rPr>
  </w:style>
  <w:style w:type="paragraph" w:customStyle="1" w:styleId="222">
    <w:name w:val="Char1 Char Char Char1"/>
    <w:basedOn w:val="1"/>
    <w:qFormat/>
    <w:uiPriority w:val="0"/>
    <w:rPr>
      <w:rFonts w:ascii="Tahoma" w:hAnsi="Tahoma"/>
      <w:sz w:val="30"/>
    </w:rPr>
  </w:style>
  <w:style w:type="paragraph" w:customStyle="1" w:styleId="223">
    <w:name w:val="样式 样式 首行缩进:  2 字符 + 首行缩进:  2 字符"/>
    <w:basedOn w:val="1"/>
    <w:qFormat/>
    <w:uiPriority w:val="0"/>
    <w:pPr>
      <w:spacing w:line="360" w:lineRule="auto"/>
      <w:ind w:firstLine="480" w:firstLineChars="200"/>
    </w:pPr>
    <w:rPr>
      <w:sz w:val="24"/>
    </w:rPr>
  </w:style>
  <w:style w:type="paragraph" w:customStyle="1" w:styleId="224">
    <w:name w:val="列表项目"/>
    <w:basedOn w:val="1"/>
    <w:qFormat/>
    <w:uiPriority w:val="0"/>
    <w:pPr>
      <w:tabs>
        <w:tab w:val="left" w:pos="420"/>
      </w:tabs>
      <w:spacing w:line="288" w:lineRule="auto"/>
      <w:ind w:left="840" w:leftChars="200" w:hanging="420" w:hangingChars="200"/>
    </w:pPr>
    <w:rPr>
      <w:sz w:val="21"/>
    </w:rPr>
  </w:style>
  <w:style w:type="paragraph" w:customStyle="1" w:styleId="22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26">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227">
    <w:name w:val="没有缩进（为图形使用）"/>
    <w:basedOn w:val="1"/>
    <w:qFormat/>
    <w:uiPriority w:val="0"/>
    <w:pPr>
      <w:spacing w:before="120" w:after="120" w:line="360" w:lineRule="auto"/>
    </w:pPr>
    <w:rPr>
      <w:sz w:val="24"/>
    </w:rPr>
  </w:style>
  <w:style w:type="paragraph" w:customStyle="1" w:styleId="22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2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Title - Revision"/>
    <w:basedOn w:val="56"/>
    <w:qFormat/>
    <w:uiPriority w:val="0"/>
    <w:pPr>
      <w:spacing w:before="720"/>
    </w:pPr>
  </w:style>
  <w:style w:type="paragraph" w:customStyle="1" w:styleId="23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4">
    <w:name w:val="标准正文"/>
    <w:basedOn w:val="24"/>
    <w:qFormat/>
    <w:uiPriority w:val="0"/>
    <w:pPr>
      <w:spacing w:before="60" w:after="60" w:line="360" w:lineRule="auto"/>
      <w:ind w:left="0" w:firstLine="482"/>
    </w:pPr>
    <w:rPr>
      <w:rFonts w:ascii="Arial" w:hAnsi="Arial"/>
      <w:sz w:val="24"/>
    </w:rPr>
  </w:style>
  <w:style w:type="paragraph" w:customStyle="1" w:styleId="23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6">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7">
    <w:name w:val="Style Heading 3h3Heading 3 - oldLevel 3 HeadH3level_3PIM 3se..."/>
    <w:basedOn w:val="6"/>
    <w:qFormat/>
    <w:uiPriority w:val="0"/>
    <w:pPr>
      <w:tabs>
        <w:tab w:val="left" w:pos="709"/>
        <w:tab w:val="left" w:pos="1620"/>
      </w:tabs>
      <w:ind w:left="1620" w:hanging="360"/>
    </w:pPr>
  </w:style>
  <w:style w:type="paragraph" w:customStyle="1" w:styleId="238">
    <w:name w:val="二级条标题"/>
    <w:basedOn w:val="146"/>
    <w:next w:val="148"/>
    <w:qFormat/>
    <w:uiPriority w:val="0"/>
    <w:pPr>
      <w:ind w:left="840"/>
      <w:outlineLvl w:val="3"/>
    </w:pPr>
  </w:style>
  <w:style w:type="paragraph" w:customStyle="1" w:styleId="239">
    <w:name w:val="Char1"/>
    <w:basedOn w:val="1"/>
    <w:qFormat/>
    <w:uiPriority w:val="0"/>
    <w:rPr>
      <w:sz w:val="21"/>
    </w:rPr>
  </w:style>
  <w:style w:type="paragraph" w:customStyle="1" w:styleId="24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41">
    <w:name w:val="Char2"/>
    <w:basedOn w:val="1"/>
    <w:qFormat/>
    <w:uiPriority w:val="0"/>
    <w:pPr>
      <w:spacing w:line="240" w:lineRule="atLeast"/>
      <w:ind w:left="420" w:firstLine="420"/>
    </w:pPr>
    <w:rPr>
      <w:kern w:val="0"/>
      <w:sz w:val="21"/>
    </w:rPr>
  </w:style>
  <w:style w:type="character" w:customStyle="1" w:styleId="242">
    <w:name w:val="正文文本 字符"/>
    <w:basedOn w:val="61"/>
    <w:link w:val="2"/>
    <w:qFormat/>
    <w:uiPriority w:val="0"/>
    <w:rPr>
      <w:rFonts w:ascii="仿宋_GB2312" w:eastAsia="仿宋_GB2312"/>
      <w:kern w:val="2"/>
      <w:sz w:val="32"/>
    </w:rPr>
  </w:style>
  <w:style w:type="paragraph" w:customStyle="1" w:styleId="243">
    <w:name w:val="WPSOffice手动目录 1"/>
    <w:qFormat/>
    <w:uiPriority w:val="0"/>
    <w:rPr>
      <w:rFonts w:asciiTheme="minorHAnsi" w:hAnsiTheme="minorHAnsi" w:eastAsiaTheme="minorEastAsia" w:cstheme="minorBidi"/>
      <w:lang w:val="en-US" w:eastAsia="zh-CN" w:bidi="ar-SA"/>
    </w:rPr>
  </w:style>
  <w:style w:type="paragraph" w:customStyle="1" w:styleId="24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45">
    <w:name w:val="列出段落1"/>
    <w:basedOn w:val="1"/>
    <w:qFormat/>
    <w:uiPriority w:val="99"/>
    <w:pPr>
      <w:ind w:firstLine="420" w:firstLineChars="200"/>
    </w:pPr>
  </w:style>
  <w:style w:type="character" w:customStyle="1" w:styleId="246">
    <w:name w:val="bjh-p"/>
    <w:basedOn w:val="61"/>
    <w:qFormat/>
    <w:uiPriority w:val="0"/>
  </w:style>
  <w:style w:type="paragraph" w:customStyle="1" w:styleId="247">
    <w:name w:val="PlainText"/>
    <w:basedOn w:val="1"/>
    <w:qFormat/>
    <w:uiPriority w:val="0"/>
    <w:pPr>
      <w:jc w:val="both"/>
      <w:textAlignment w:val="baseline"/>
    </w:pPr>
    <w:rPr>
      <w:rFonts w:ascii="宋体" w:hAnsi="Courier New"/>
      <w:kern w:val="2"/>
      <w:sz w:val="21"/>
      <w:szCs w:val="24"/>
      <w:lang w:val="en-US" w:eastAsia="zh-CN" w:bidi="ar-SA"/>
    </w:rPr>
  </w:style>
  <w:style w:type="paragraph" w:customStyle="1" w:styleId="248">
    <w:name w:val="List Paragraph"/>
    <w:basedOn w:val="1"/>
    <w:qFormat/>
    <w:uiPriority w:val="0"/>
    <w:pPr>
      <w:ind w:firstLine="420" w:firstLineChars="200"/>
    </w:pPr>
  </w:style>
  <w:style w:type="paragraph" w:customStyle="1" w:styleId="249">
    <w:name w:val="中医正文"/>
    <w:basedOn w:val="1"/>
    <w:qFormat/>
    <w:uiPriority w:val="0"/>
    <w:pPr>
      <w:snapToGrid w:val="0"/>
      <w:spacing w:line="360" w:lineRule="auto"/>
      <w:ind w:firstLine="48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4962A-159E-4D62-BC7A-DD1205B89AC6}">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36</Pages>
  <Words>15448</Words>
  <Characters>16170</Characters>
  <Lines>47</Lines>
  <Paragraphs>50</Paragraphs>
  <TotalTime>1</TotalTime>
  <ScaleCrop>false</ScaleCrop>
  <LinksUpToDate>false</LinksUpToDate>
  <CharactersWithSpaces>19577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2022-04-18T03:23:00Z</dcterms:created>
  <dc:creator>周媛媛</dc:creator>
  <cp:lastModifiedBy>李涛</cp:lastModifiedBy>
  <cp:lastPrinted>2022-05-11T04:25:00Z</cp:lastPrinted>
  <dcterms:modified xsi:type="dcterms:W3CDTF">2022-05-11T07:47:03Z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19579290688841268AEE6A26292457BB</vt:lpwstr>
  </property>
  <property fmtid="{D5CDD505-2E9C-101B-9397-08002B2CF9AE}" pid="4" name="KSOSaveFontToCloudKey">
    <vt:lpwstr>448328608_cloud</vt:lpwstr>
  </property>
</Properties>
</file>